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1416"/>
        <w:tblW w:w="5000" w:type="pct"/>
        <w:tblCellMar>
          <w:left w:w="70" w:type="dxa"/>
          <w:right w:w="70" w:type="dxa"/>
        </w:tblCellMar>
        <w:tblLook w:val="04A0" w:firstRow="1" w:lastRow="0" w:firstColumn="1" w:lastColumn="0" w:noHBand="0" w:noVBand="1"/>
      </w:tblPr>
      <w:tblGrid>
        <w:gridCol w:w="1266"/>
        <w:gridCol w:w="625"/>
        <w:gridCol w:w="1544"/>
        <w:gridCol w:w="1527"/>
        <w:gridCol w:w="1521"/>
        <w:gridCol w:w="2335"/>
      </w:tblGrid>
      <w:tr w:rsidR="00121B78" w:rsidRPr="003E3195" w14:paraId="68ED5AED" w14:textId="77777777" w:rsidTr="00512F21">
        <w:trPr>
          <w:trHeight w:val="324"/>
        </w:trPr>
        <w:tc>
          <w:tcPr>
            <w:tcW w:w="718"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E4B8AC1"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Fuente / Autor</w:t>
            </w:r>
          </w:p>
        </w:tc>
        <w:tc>
          <w:tcPr>
            <w:tcW w:w="354" w:type="pct"/>
            <w:tcBorders>
              <w:top w:val="single" w:sz="8" w:space="0" w:color="auto"/>
              <w:left w:val="nil"/>
              <w:bottom w:val="single" w:sz="8" w:space="0" w:color="auto"/>
              <w:right w:val="single" w:sz="8" w:space="0" w:color="auto"/>
            </w:tcBorders>
            <w:shd w:val="clear" w:color="auto" w:fill="auto"/>
            <w:vAlign w:val="center"/>
            <w:hideMark/>
          </w:tcPr>
          <w:p w14:paraId="6316F54A"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Año</w:t>
            </w:r>
          </w:p>
        </w:tc>
        <w:tc>
          <w:tcPr>
            <w:tcW w:w="875" w:type="pct"/>
            <w:tcBorders>
              <w:top w:val="single" w:sz="8" w:space="0" w:color="auto"/>
              <w:left w:val="nil"/>
              <w:bottom w:val="single" w:sz="8" w:space="0" w:color="auto"/>
              <w:right w:val="single" w:sz="8" w:space="0" w:color="auto"/>
            </w:tcBorders>
            <w:shd w:val="clear" w:color="auto" w:fill="auto"/>
            <w:vAlign w:val="center"/>
            <w:hideMark/>
          </w:tcPr>
          <w:p w14:paraId="02CCF65F"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Título </w:t>
            </w:r>
          </w:p>
        </w:tc>
        <w:tc>
          <w:tcPr>
            <w:tcW w:w="866" w:type="pct"/>
            <w:tcBorders>
              <w:top w:val="single" w:sz="8" w:space="0" w:color="auto"/>
              <w:left w:val="nil"/>
              <w:bottom w:val="single" w:sz="8" w:space="0" w:color="auto"/>
              <w:right w:val="single" w:sz="8" w:space="0" w:color="auto"/>
            </w:tcBorders>
            <w:shd w:val="clear" w:color="auto" w:fill="auto"/>
            <w:vAlign w:val="center"/>
            <w:hideMark/>
          </w:tcPr>
          <w:p w14:paraId="0C144FDD"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Hallazgos principales </w:t>
            </w:r>
          </w:p>
        </w:tc>
        <w:tc>
          <w:tcPr>
            <w:tcW w:w="862" w:type="pct"/>
            <w:tcBorders>
              <w:top w:val="single" w:sz="8" w:space="0" w:color="auto"/>
              <w:left w:val="nil"/>
              <w:bottom w:val="single" w:sz="8" w:space="0" w:color="auto"/>
              <w:right w:val="single" w:sz="8" w:space="0" w:color="auto"/>
            </w:tcBorders>
            <w:shd w:val="clear" w:color="auto" w:fill="auto"/>
            <w:vAlign w:val="center"/>
            <w:hideMark/>
          </w:tcPr>
          <w:p w14:paraId="0248915B"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Implicaciones para el proyecto</w:t>
            </w:r>
          </w:p>
        </w:tc>
        <w:tc>
          <w:tcPr>
            <w:tcW w:w="1324" w:type="pct"/>
            <w:tcBorders>
              <w:top w:val="single" w:sz="8" w:space="0" w:color="auto"/>
              <w:left w:val="nil"/>
              <w:bottom w:val="single" w:sz="8" w:space="0" w:color="auto"/>
              <w:right w:val="single" w:sz="8" w:space="0" w:color="auto"/>
            </w:tcBorders>
            <w:shd w:val="clear" w:color="auto" w:fill="auto"/>
            <w:vAlign w:val="center"/>
            <w:hideMark/>
          </w:tcPr>
          <w:p w14:paraId="34FCFFC8"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Cita APA 7</w:t>
            </w:r>
          </w:p>
        </w:tc>
      </w:tr>
      <w:tr w:rsidR="00121B78" w:rsidRPr="003E3195" w14:paraId="15276E9D" w14:textId="77777777" w:rsidTr="00512F21">
        <w:trPr>
          <w:trHeight w:val="4068"/>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74C613AE"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Asociación Colombiana de Porcicultores – Porkcolombia</w:t>
            </w:r>
          </w:p>
        </w:tc>
        <w:tc>
          <w:tcPr>
            <w:tcW w:w="354" w:type="pct"/>
            <w:tcBorders>
              <w:top w:val="nil"/>
              <w:left w:val="nil"/>
              <w:bottom w:val="single" w:sz="8" w:space="0" w:color="auto"/>
              <w:right w:val="single" w:sz="8" w:space="0" w:color="auto"/>
            </w:tcBorders>
            <w:shd w:val="clear" w:color="auto" w:fill="auto"/>
            <w:vAlign w:val="center"/>
            <w:hideMark/>
          </w:tcPr>
          <w:p w14:paraId="6DEDF564"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2025</w:t>
            </w:r>
          </w:p>
        </w:tc>
        <w:tc>
          <w:tcPr>
            <w:tcW w:w="875" w:type="pct"/>
            <w:tcBorders>
              <w:top w:val="nil"/>
              <w:left w:val="nil"/>
              <w:bottom w:val="single" w:sz="8" w:space="0" w:color="auto"/>
              <w:right w:val="single" w:sz="8" w:space="0" w:color="auto"/>
            </w:tcBorders>
            <w:shd w:val="clear" w:color="auto" w:fill="auto"/>
            <w:vAlign w:val="center"/>
            <w:hideMark/>
          </w:tcPr>
          <w:p w14:paraId="5CEBEED8"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Informe de gestión vigencia 2024</w:t>
            </w:r>
          </w:p>
        </w:tc>
        <w:tc>
          <w:tcPr>
            <w:tcW w:w="866" w:type="pct"/>
            <w:tcBorders>
              <w:top w:val="nil"/>
              <w:left w:val="nil"/>
              <w:bottom w:val="single" w:sz="8" w:space="0" w:color="auto"/>
              <w:right w:val="single" w:sz="8" w:space="0" w:color="auto"/>
            </w:tcBorders>
            <w:shd w:val="clear" w:color="auto" w:fill="auto"/>
            <w:vAlign w:val="center"/>
            <w:hideMark/>
          </w:tcPr>
          <w:p w14:paraId="6236B580"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El informe reporta que la producción nacional de carne de cerdo en 2024 fue de 608.752 toneladas, lo que representa un incremento del 7,8% frente al año anterior. Se faenaron 6,19 millones de porcinos, con un valor de producción de $7,83 billones de pesos. Además, las importaciones aumentaron 19,2%, con 165,822 toneladas de carne y subproductos, impulsadas por la demanda interna. El consumo per cápita fue de 14.7 kg/año, consolidándolo como el segundo sector más dinámico del </w:t>
            </w:r>
            <w:r w:rsidRPr="003E3195">
              <w:rPr>
                <w:color w:val="000000"/>
                <w:sz w:val="24"/>
                <w:szCs w:val="24"/>
                <w:lang w:val="es-CO" w:eastAsia="es-CO"/>
              </w:rPr>
              <w:lastRenderedPageBreak/>
              <w:t>agro colombiano.</w:t>
            </w:r>
          </w:p>
        </w:tc>
        <w:tc>
          <w:tcPr>
            <w:tcW w:w="862" w:type="pct"/>
            <w:tcBorders>
              <w:top w:val="nil"/>
              <w:left w:val="nil"/>
              <w:bottom w:val="single" w:sz="8" w:space="0" w:color="auto"/>
              <w:right w:val="single" w:sz="8" w:space="0" w:color="auto"/>
            </w:tcBorders>
            <w:shd w:val="clear" w:color="auto" w:fill="auto"/>
            <w:vAlign w:val="center"/>
            <w:hideMark/>
          </w:tcPr>
          <w:p w14:paraId="67DDD1F4"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Los datos evidencian un mercado en crecimiento, por lo que se requiere una infraestructura para acompañar la expansión productiva. Por lo que la creación de una planta de beneficio responde a la necesidad de ampliar la capacidad de sacrificio formal en las regiones sin coberturas, contribuyendo a la inocuidad, trazabilidad y reducción de la informalidad en Santander.</w:t>
            </w:r>
          </w:p>
        </w:tc>
        <w:tc>
          <w:tcPr>
            <w:tcW w:w="1324" w:type="pct"/>
            <w:tcBorders>
              <w:top w:val="nil"/>
              <w:left w:val="nil"/>
              <w:bottom w:val="single" w:sz="8" w:space="0" w:color="auto"/>
              <w:right w:val="single" w:sz="8" w:space="0" w:color="auto"/>
            </w:tcBorders>
            <w:shd w:val="clear" w:color="auto" w:fill="auto"/>
            <w:vAlign w:val="center"/>
            <w:hideMark/>
          </w:tcPr>
          <w:p w14:paraId="43CC7168"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Asociación Colombiana de Porcicultores – Porkcolombia. (2025). </w:t>
            </w:r>
          </w:p>
        </w:tc>
      </w:tr>
      <w:tr w:rsidR="00121B78" w:rsidRPr="003E3195" w14:paraId="37AF26D4" w14:textId="77777777" w:rsidTr="00512F21">
        <w:trPr>
          <w:trHeight w:val="2508"/>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24CB299F"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Porkcolombia – FNP</w:t>
            </w:r>
          </w:p>
        </w:tc>
        <w:tc>
          <w:tcPr>
            <w:tcW w:w="354" w:type="pct"/>
            <w:tcBorders>
              <w:top w:val="nil"/>
              <w:left w:val="nil"/>
              <w:bottom w:val="single" w:sz="8" w:space="0" w:color="auto"/>
              <w:right w:val="single" w:sz="8" w:space="0" w:color="auto"/>
            </w:tcBorders>
            <w:shd w:val="clear" w:color="auto" w:fill="auto"/>
            <w:vAlign w:val="center"/>
            <w:hideMark/>
          </w:tcPr>
          <w:p w14:paraId="21086F29"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2025</w:t>
            </w:r>
          </w:p>
        </w:tc>
        <w:tc>
          <w:tcPr>
            <w:tcW w:w="875" w:type="pct"/>
            <w:tcBorders>
              <w:top w:val="nil"/>
              <w:left w:val="nil"/>
              <w:bottom w:val="single" w:sz="8" w:space="0" w:color="auto"/>
              <w:right w:val="single" w:sz="8" w:space="0" w:color="auto"/>
            </w:tcBorders>
            <w:shd w:val="clear" w:color="auto" w:fill="auto"/>
            <w:vAlign w:val="center"/>
            <w:hideMark/>
          </w:tcPr>
          <w:p w14:paraId="5B9D4CC9"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Indicadores Porcicultura 2024</w:t>
            </w:r>
          </w:p>
        </w:tc>
        <w:tc>
          <w:tcPr>
            <w:tcW w:w="866" w:type="pct"/>
            <w:tcBorders>
              <w:top w:val="nil"/>
              <w:left w:val="nil"/>
              <w:bottom w:val="single" w:sz="8" w:space="0" w:color="auto"/>
              <w:right w:val="single" w:sz="8" w:space="0" w:color="auto"/>
            </w:tcBorders>
            <w:shd w:val="clear" w:color="auto" w:fill="auto"/>
            <w:vAlign w:val="center"/>
            <w:hideMark/>
          </w:tcPr>
          <w:p w14:paraId="3C97B381"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Los indicadores consolidados en el 2024 muestran un aumento continuo en la producción, ya que el sector presento un crecimiento acumulado del 46% entre 2018 y 2024. El beneficio formal aumento más del 8% cada año, mientras que el consumo per cápita paso de 10,3 kg en 2018 a 14,7 kg en 2024. </w:t>
            </w:r>
          </w:p>
        </w:tc>
        <w:tc>
          <w:tcPr>
            <w:tcW w:w="862" w:type="pct"/>
            <w:tcBorders>
              <w:top w:val="nil"/>
              <w:left w:val="nil"/>
              <w:bottom w:val="single" w:sz="8" w:space="0" w:color="auto"/>
              <w:right w:val="single" w:sz="8" w:space="0" w:color="auto"/>
            </w:tcBorders>
            <w:shd w:val="clear" w:color="auto" w:fill="auto"/>
            <w:vAlign w:val="center"/>
            <w:hideMark/>
          </w:tcPr>
          <w:p w14:paraId="22CE38B4"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La información cuantitativa demuestra la solidez y expansión del sector, lo que justifica de ampliar la red de plantas de sacrificio a departamentos donde la infraestructura sea ausente, como Santander. Una planta permitiría ofrecer servicios eficientes a pequeños y medianos porcicultores santandereanos.</w:t>
            </w:r>
          </w:p>
        </w:tc>
        <w:tc>
          <w:tcPr>
            <w:tcW w:w="1324" w:type="pct"/>
            <w:tcBorders>
              <w:top w:val="nil"/>
              <w:left w:val="nil"/>
              <w:bottom w:val="single" w:sz="8" w:space="0" w:color="auto"/>
              <w:right w:val="single" w:sz="8" w:space="0" w:color="auto"/>
            </w:tcBorders>
            <w:shd w:val="clear" w:color="auto" w:fill="auto"/>
            <w:vAlign w:val="center"/>
            <w:hideMark/>
          </w:tcPr>
          <w:p w14:paraId="5C6206E3"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Porkcolombia – FNP. (2025). Indicadores Porcicultura 2024.</w:t>
            </w:r>
          </w:p>
        </w:tc>
      </w:tr>
      <w:tr w:rsidR="00121B78" w:rsidRPr="00D55948" w14:paraId="675E00FC" w14:textId="77777777" w:rsidTr="00512F21">
        <w:trPr>
          <w:trHeight w:val="3756"/>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5571703A"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USDA-FAS (GAIN)</w:t>
            </w:r>
          </w:p>
        </w:tc>
        <w:tc>
          <w:tcPr>
            <w:tcW w:w="354" w:type="pct"/>
            <w:tcBorders>
              <w:top w:val="nil"/>
              <w:left w:val="nil"/>
              <w:bottom w:val="single" w:sz="8" w:space="0" w:color="auto"/>
              <w:right w:val="single" w:sz="8" w:space="0" w:color="auto"/>
            </w:tcBorders>
            <w:shd w:val="clear" w:color="auto" w:fill="auto"/>
            <w:vAlign w:val="center"/>
            <w:hideMark/>
          </w:tcPr>
          <w:p w14:paraId="7BEB3968"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2025</w:t>
            </w:r>
          </w:p>
        </w:tc>
        <w:tc>
          <w:tcPr>
            <w:tcW w:w="875" w:type="pct"/>
            <w:tcBorders>
              <w:top w:val="nil"/>
              <w:left w:val="nil"/>
              <w:bottom w:val="single" w:sz="8" w:space="0" w:color="auto"/>
              <w:right w:val="single" w:sz="8" w:space="0" w:color="auto"/>
            </w:tcBorders>
            <w:shd w:val="clear" w:color="auto" w:fill="auto"/>
            <w:vAlign w:val="center"/>
            <w:hideMark/>
          </w:tcPr>
          <w:p w14:paraId="0A0650E8" w14:textId="77777777" w:rsidR="00121B78" w:rsidRPr="006304F7" w:rsidRDefault="00121B78" w:rsidP="00512F21">
            <w:pPr>
              <w:widowControl/>
              <w:autoSpaceDE/>
              <w:autoSpaceDN/>
              <w:rPr>
                <w:color w:val="000000"/>
                <w:sz w:val="24"/>
                <w:szCs w:val="24"/>
                <w:lang w:val="en-US" w:eastAsia="es-CO"/>
              </w:rPr>
            </w:pPr>
            <w:r w:rsidRPr="006304F7">
              <w:rPr>
                <w:color w:val="000000"/>
                <w:sz w:val="24"/>
                <w:szCs w:val="24"/>
                <w:lang w:val="en-US" w:eastAsia="es-CO"/>
              </w:rPr>
              <w:t>U.S. Agricultural Exports to Colombia Reached Record High in 2024</w:t>
            </w:r>
          </w:p>
        </w:tc>
        <w:tc>
          <w:tcPr>
            <w:tcW w:w="866" w:type="pct"/>
            <w:tcBorders>
              <w:top w:val="nil"/>
              <w:left w:val="nil"/>
              <w:bottom w:val="single" w:sz="8" w:space="0" w:color="auto"/>
              <w:right w:val="single" w:sz="8" w:space="0" w:color="auto"/>
            </w:tcBorders>
            <w:shd w:val="clear" w:color="auto" w:fill="auto"/>
            <w:vAlign w:val="center"/>
            <w:hideMark/>
          </w:tcPr>
          <w:p w14:paraId="2F5A8D27"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El informe del Servicio Agrícola Exterior de los Estados Unidos (GAIN), indica que las exportaciones de carne de cerdo a EE.UU. hacia Colombia alcanzaron un valor de 360 millones de dólares en 2024, equivalente a 165,000 toneladas. Colombia se mantiene como el quinto mayor destino de las exportaciones estadounidenses. Este incremento muestra una fuerte dependencia del mercado importado, a pesar del crecimiento de la producción nacional.</w:t>
            </w:r>
          </w:p>
        </w:tc>
        <w:tc>
          <w:tcPr>
            <w:tcW w:w="862" w:type="pct"/>
            <w:tcBorders>
              <w:top w:val="nil"/>
              <w:left w:val="nil"/>
              <w:bottom w:val="single" w:sz="8" w:space="0" w:color="auto"/>
              <w:right w:val="single" w:sz="8" w:space="0" w:color="auto"/>
            </w:tcBorders>
            <w:shd w:val="clear" w:color="auto" w:fill="auto"/>
            <w:vAlign w:val="center"/>
            <w:hideMark/>
          </w:tcPr>
          <w:p w14:paraId="3FE5E5D6"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El alto nivel de importación de carne de cerdo presiona la competitividad del productor colombiano. La creación de una planta de sacrificio reduciría los costos logísticos, y la confiabilidad del producto, impulsando así el abastecimiento local, y mejorando la competitividad frente a la carne importada.</w:t>
            </w:r>
          </w:p>
        </w:tc>
        <w:tc>
          <w:tcPr>
            <w:tcW w:w="1324" w:type="pct"/>
            <w:tcBorders>
              <w:top w:val="nil"/>
              <w:left w:val="nil"/>
              <w:bottom w:val="single" w:sz="8" w:space="0" w:color="auto"/>
              <w:right w:val="single" w:sz="8" w:space="0" w:color="auto"/>
            </w:tcBorders>
            <w:shd w:val="clear" w:color="auto" w:fill="auto"/>
            <w:vAlign w:val="center"/>
            <w:hideMark/>
          </w:tcPr>
          <w:p w14:paraId="71AF2652" w14:textId="77777777" w:rsidR="00121B78" w:rsidRPr="006304F7" w:rsidRDefault="00121B78" w:rsidP="00512F21">
            <w:pPr>
              <w:widowControl/>
              <w:autoSpaceDE/>
              <w:autoSpaceDN/>
              <w:rPr>
                <w:color w:val="000000"/>
                <w:sz w:val="24"/>
                <w:szCs w:val="24"/>
                <w:lang w:val="en-US" w:eastAsia="es-CO"/>
              </w:rPr>
            </w:pPr>
            <w:r w:rsidRPr="006304F7">
              <w:rPr>
                <w:color w:val="000000"/>
                <w:sz w:val="24"/>
                <w:szCs w:val="24"/>
                <w:lang w:val="en-US" w:eastAsia="es-CO"/>
              </w:rPr>
              <w:t xml:space="preserve">USDA-FAS. (2025, 20 de febrero). U.S. Agricultural Exports to Colombia Reached Record High in 2024. </w:t>
            </w:r>
          </w:p>
        </w:tc>
      </w:tr>
      <w:tr w:rsidR="00121B78" w:rsidRPr="00D55948" w14:paraId="074327DA" w14:textId="77777777" w:rsidTr="00512F21">
        <w:trPr>
          <w:trHeight w:val="3132"/>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1C58C4A7" w14:textId="77777777" w:rsidR="00121B78" w:rsidRPr="006304F7" w:rsidRDefault="00121B78" w:rsidP="00512F21">
            <w:pPr>
              <w:widowControl/>
              <w:autoSpaceDE/>
              <w:autoSpaceDN/>
              <w:rPr>
                <w:color w:val="000000"/>
                <w:sz w:val="24"/>
                <w:szCs w:val="24"/>
                <w:lang w:val="en-US" w:eastAsia="es-CO"/>
              </w:rPr>
            </w:pPr>
            <w:r w:rsidRPr="006304F7">
              <w:rPr>
                <w:color w:val="000000"/>
                <w:sz w:val="24"/>
                <w:szCs w:val="24"/>
                <w:lang w:val="en-US" w:eastAsia="es-CO"/>
              </w:rPr>
              <w:lastRenderedPageBreak/>
              <w:t>International Trade Centre (ITC) – TradeMap</w:t>
            </w:r>
          </w:p>
        </w:tc>
        <w:tc>
          <w:tcPr>
            <w:tcW w:w="354" w:type="pct"/>
            <w:tcBorders>
              <w:top w:val="nil"/>
              <w:left w:val="nil"/>
              <w:bottom w:val="single" w:sz="8" w:space="0" w:color="auto"/>
              <w:right w:val="single" w:sz="8" w:space="0" w:color="auto"/>
            </w:tcBorders>
            <w:shd w:val="clear" w:color="auto" w:fill="auto"/>
            <w:vAlign w:val="center"/>
            <w:hideMark/>
          </w:tcPr>
          <w:p w14:paraId="147CECDF"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2025</w:t>
            </w:r>
          </w:p>
        </w:tc>
        <w:tc>
          <w:tcPr>
            <w:tcW w:w="875" w:type="pct"/>
            <w:tcBorders>
              <w:top w:val="nil"/>
              <w:left w:val="nil"/>
              <w:bottom w:val="single" w:sz="8" w:space="0" w:color="auto"/>
              <w:right w:val="single" w:sz="8" w:space="0" w:color="auto"/>
            </w:tcBorders>
            <w:shd w:val="clear" w:color="auto" w:fill="auto"/>
            <w:vAlign w:val="center"/>
            <w:hideMark/>
          </w:tcPr>
          <w:p w14:paraId="1797F551"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Estadísticas de comercio internacional (HS 0203)</w:t>
            </w:r>
          </w:p>
        </w:tc>
        <w:tc>
          <w:tcPr>
            <w:tcW w:w="866" w:type="pct"/>
            <w:tcBorders>
              <w:top w:val="nil"/>
              <w:left w:val="nil"/>
              <w:bottom w:val="single" w:sz="8" w:space="0" w:color="auto"/>
              <w:right w:val="single" w:sz="8" w:space="0" w:color="auto"/>
            </w:tcBorders>
            <w:shd w:val="clear" w:color="auto" w:fill="auto"/>
            <w:vAlign w:val="center"/>
            <w:hideMark/>
          </w:tcPr>
          <w:p w14:paraId="3BAAD0C9"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Según el ITC, entre 2020 y 2024, las importaciones colombianas de carne porcina pasaron de 95.000 a 165.000, con un valor que paso de 220 millones de dólares a más de 360 millones. Siendo los principales proveedores Estados Unidos (75%), Canadá (12%) y Chile (10%). En contraste, las exportaciones colombianas se mantienen por debajo de las 3.000 toneladas anuales.</w:t>
            </w:r>
          </w:p>
        </w:tc>
        <w:tc>
          <w:tcPr>
            <w:tcW w:w="862" w:type="pct"/>
            <w:tcBorders>
              <w:top w:val="nil"/>
              <w:left w:val="nil"/>
              <w:bottom w:val="single" w:sz="8" w:space="0" w:color="auto"/>
              <w:right w:val="single" w:sz="8" w:space="0" w:color="auto"/>
            </w:tcBorders>
            <w:shd w:val="clear" w:color="auto" w:fill="auto"/>
            <w:vAlign w:val="center"/>
            <w:hideMark/>
          </w:tcPr>
          <w:p w14:paraId="231876E1"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Las cifras refuerzan la necesidad de fortalecer la producción y procesamiento nacional para reducir la dependencia de importaciones. La planta en Santander puede ser un punto de partida para impulsar el desarrollo de infraestructura certificada que impulse la competitividad y eventualmente impulsar las exportaciones colombianas.</w:t>
            </w:r>
          </w:p>
        </w:tc>
        <w:tc>
          <w:tcPr>
            <w:tcW w:w="1324" w:type="pct"/>
            <w:tcBorders>
              <w:top w:val="nil"/>
              <w:left w:val="nil"/>
              <w:bottom w:val="single" w:sz="8" w:space="0" w:color="auto"/>
              <w:right w:val="single" w:sz="8" w:space="0" w:color="auto"/>
            </w:tcBorders>
            <w:shd w:val="clear" w:color="auto" w:fill="auto"/>
            <w:vAlign w:val="center"/>
            <w:hideMark/>
          </w:tcPr>
          <w:p w14:paraId="7C9550A1" w14:textId="77777777" w:rsidR="00121B78" w:rsidRPr="006304F7" w:rsidRDefault="00121B78" w:rsidP="00512F21">
            <w:pPr>
              <w:widowControl/>
              <w:autoSpaceDE/>
              <w:autoSpaceDN/>
              <w:rPr>
                <w:color w:val="000000"/>
                <w:sz w:val="24"/>
                <w:szCs w:val="24"/>
                <w:lang w:val="en-US" w:eastAsia="es-CO"/>
              </w:rPr>
            </w:pPr>
            <w:r w:rsidRPr="006304F7">
              <w:rPr>
                <w:color w:val="000000"/>
                <w:sz w:val="24"/>
                <w:szCs w:val="24"/>
                <w:lang w:val="en-US" w:eastAsia="es-CO"/>
              </w:rPr>
              <w:t xml:space="preserve">International Trade Centre (ITC). (2025). Trade Map – International Trade Statistics. </w:t>
            </w:r>
          </w:p>
        </w:tc>
      </w:tr>
      <w:tr w:rsidR="00121B78" w:rsidRPr="003E3195" w14:paraId="41D4D627" w14:textId="77777777" w:rsidTr="00512F21">
        <w:trPr>
          <w:trHeight w:val="2820"/>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365C974F"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Portafolio</w:t>
            </w:r>
          </w:p>
        </w:tc>
        <w:tc>
          <w:tcPr>
            <w:tcW w:w="354" w:type="pct"/>
            <w:tcBorders>
              <w:top w:val="nil"/>
              <w:left w:val="nil"/>
              <w:bottom w:val="single" w:sz="8" w:space="0" w:color="auto"/>
              <w:right w:val="single" w:sz="8" w:space="0" w:color="auto"/>
            </w:tcBorders>
            <w:shd w:val="clear" w:color="auto" w:fill="auto"/>
            <w:vAlign w:val="center"/>
            <w:hideMark/>
          </w:tcPr>
          <w:p w14:paraId="1925859F"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2025</w:t>
            </w:r>
          </w:p>
        </w:tc>
        <w:tc>
          <w:tcPr>
            <w:tcW w:w="875" w:type="pct"/>
            <w:tcBorders>
              <w:top w:val="nil"/>
              <w:left w:val="nil"/>
              <w:bottom w:val="single" w:sz="8" w:space="0" w:color="auto"/>
              <w:right w:val="single" w:sz="8" w:space="0" w:color="auto"/>
            </w:tcBorders>
            <w:shd w:val="clear" w:color="auto" w:fill="auto"/>
            <w:vAlign w:val="center"/>
            <w:hideMark/>
          </w:tcPr>
          <w:p w14:paraId="4F83E905"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Carne de cerdo de Colombia gana prestigio internacional</w:t>
            </w:r>
          </w:p>
        </w:tc>
        <w:tc>
          <w:tcPr>
            <w:tcW w:w="866" w:type="pct"/>
            <w:tcBorders>
              <w:top w:val="nil"/>
              <w:left w:val="nil"/>
              <w:bottom w:val="single" w:sz="8" w:space="0" w:color="auto"/>
              <w:right w:val="single" w:sz="8" w:space="0" w:color="auto"/>
            </w:tcBorders>
            <w:shd w:val="clear" w:color="auto" w:fill="auto"/>
            <w:vAlign w:val="center"/>
            <w:hideMark/>
          </w:tcPr>
          <w:p w14:paraId="128F50DE"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El articulo destaca que el sector porcino colombiano ha logrado consolidar una imagen de calidad e inocuidad a nivel nacional. La participación del cerdo en </w:t>
            </w:r>
            <w:r w:rsidRPr="003E3195">
              <w:rPr>
                <w:color w:val="000000"/>
                <w:sz w:val="24"/>
                <w:szCs w:val="24"/>
                <w:lang w:val="es-CO" w:eastAsia="es-CO"/>
              </w:rPr>
              <w:lastRenderedPageBreak/>
              <w:t>la dieta de los colombianos aumentó un38% en la última década. Se resalta el esfuerzo del gremio Porkcolombia en posicionar el producto y promover buenas prácticas.</w:t>
            </w:r>
          </w:p>
        </w:tc>
        <w:tc>
          <w:tcPr>
            <w:tcW w:w="862" w:type="pct"/>
            <w:tcBorders>
              <w:top w:val="nil"/>
              <w:left w:val="nil"/>
              <w:bottom w:val="single" w:sz="8" w:space="0" w:color="auto"/>
              <w:right w:val="single" w:sz="8" w:space="0" w:color="auto"/>
            </w:tcBorders>
            <w:shd w:val="clear" w:color="auto" w:fill="auto"/>
            <w:vAlign w:val="center"/>
            <w:hideMark/>
          </w:tcPr>
          <w:p w14:paraId="1F1E0547"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 xml:space="preserve">En el contexto del reconocimiento nacional e internacional se evidencia que la formalización es fundamental para mantener la reputación del sector. La </w:t>
            </w:r>
            <w:r w:rsidRPr="003E3195">
              <w:rPr>
                <w:color w:val="000000"/>
                <w:sz w:val="24"/>
                <w:szCs w:val="24"/>
                <w:lang w:val="es-CO" w:eastAsia="es-CO"/>
              </w:rPr>
              <w:lastRenderedPageBreak/>
              <w:t>planta proyectada en Santander estaría alineada con este propósito, ya que garantiza la inocuidad de la carne, el control sanitario y el cumplimiento normativo</w:t>
            </w:r>
          </w:p>
        </w:tc>
        <w:tc>
          <w:tcPr>
            <w:tcW w:w="1324" w:type="pct"/>
            <w:tcBorders>
              <w:top w:val="nil"/>
              <w:left w:val="nil"/>
              <w:bottom w:val="single" w:sz="8" w:space="0" w:color="auto"/>
              <w:right w:val="single" w:sz="8" w:space="0" w:color="auto"/>
            </w:tcBorders>
            <w:shd w:val="clear" w:color="auto" w:fill="auto"/>
            <w:vAlign w:val="center"/>
            <w:hideMark/>
          </w:tcPr>
          <w:p w14:paraId="5DBD4A36"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 xml:space="preserve">Portafolio. (2025, 17 de julio). Carne de cerdo de Colombia gana prestigio internacional. </w:t>
            </w:r>
          </w:p>
        </w:tc>
      </w:tr>
      <w:tr w:rsidR="00121B78" w:rsidRPr="003E3195" w14:paraId="735AF23B" w14:textId="77777777" w:rsidTr="00512F21">
        <w:trPr>
          <w:trHeight w:val="3444"/>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1D287C86"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Vanguardia</w:t>
            </w:r>
          </w:p>
        </w:tc>
        <w:tc>
          <w:tcPr>
            <w:tcW w:w="354" w:type="pct"/>
            <w:tcBorders>
              <w:top w:val="nil"/>
              <w:left w:val="nil"/>
              <w:bottom w:val="single" w:sz="8" w:space="0" w:color="auto"/>
              <w:right w:val="single" w:sz="8" w:space="0" w:color="auto"/>
            </w:tcBorders>
            <w:shd w:val="clear" w:color="auto" w:fill="auto"/>
            <w:vAlign w:val="center"/>
            <w:hideMark/>
          </w:tcPr>
          <w:p w14:paraId="353DD8CD"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2025</w:t>
            </w:r>
          </w:p>
        </w:tc>
        <w:tc>
          <w:tcPr>
            <w:tcW w:w="875" w:type="pct"/>
            <w:tcBorders>
              <w:top w:val="nil"/>
              <w:left w:val="nil"/>
              <w:bottom w:val="single" w:sz="8" w:space="0" w:color="auto"/>
              <w:right w:val="single" w:sz="8" w:space="0" w:color="auto"/>
            </w:tcBorders>
            <w:shd w:val="clear" w:color="auto" w:fill="auto"/>
            <w:vAlign w:val="center"/>
            <w:hideMark/>
          </w:tcPr>
          <w:p w14:paraId="20B30C30"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La caída en el precio y la falta de plantas de sacrificio: los retos de los porcicultores en Santander</w:t>
            </w:r>
          </w:p>
        </w:tc>
        <w:tc>
          <w:tcPr>
            <w:tcW w:w="866" w:type="pct"/>
            <w:tcBorders>
              <w:top w:val="nil"/>
              <w:left w:val="nil"/>
              <w:bottom w:val="single" w:sz="8" w:space="0" w:color="auto"/>
              <w:right w:val="single" w:sz="8" w:space="0" w:color="auto"/>
            </w:tcBorders>
            <w:shd w:val="clear" w:color="auto" w:fill="auto"/>
            <w:vAlign w:val="center"/>
            <w:hideMark/>
          </w:tcPr>
          <w:p w14:paraId="0FE74D81"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El reportaje informa que Santander cuenta con 11.000 cerdas de cría y una demanda aproximada de 800 cerdos diarios, pero carece de una planta de beneficio autorizada. Desde el cierre del Frigorífico Vijagual en 2020, los porcicultores trasladan los animales a Cúcuta o Valledupar, lo que eleva los costos hasta un 20%. Además, se estima un sacrificio informal de </w:t>
            </w:r>
            <w:r w:rsidRPr="003E3195">
              <w:rPr>
                <w:color w:val="000000"/>
                <w:sz w:val="24"/>
                <w:szCs w:val="24"/>
                <w:lang w:val="es-CO" w:eastAsia="es-CO"/>
              </w:rPr>
              <w:lastRenderedPageBreak/>
              <w:t>400 cerdos diarios en el área metropolitana</w:t>
            </w:r>
          </w:p>
        </w:tc>
        <w:tc>
          <w:tcPr>
            <w:tcW w:w="862" w:type="pct"/>
            <w:tcBorders>
              <w:top w:val="nil"/>
              <w:left w:val="nil"/>
              <w:bottom w:val="single" w:sz="8" w:space="0" w:color="auto"/>
              <w:right w:val="single" w:sz="8" w:space="0" w:color="auto"/>
            </w:tcBorders>
            <w:shd w:val="clear" w:color="auto" w:fill="auto"/>
            <w:vAlign w:val="center"/>
            <w:hideMark/>
          </w:tcPr>
          <w:p w14:paraId="37950CF4"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Este diagnóstico regional justifica la creación de una planta que reduzca los costos logísticos, garantice la inocuidad y permita la integración de los porcicultores santandereanos a mercados formales.</w:t>
            </w:r>
          </w:p>
        </w:tc>
        <w:tc>
          <w:tcPr>
            <w:tcW w:w="1324" w:type="pct"/>
            <w:tcBorders>
              <w:top w:val="nil"/>
              <w:left w:val="nil"/>
              <w:bottom w:val="single" w:sz="8" w:space="0" w:color="auto"/>
              <w:right w:val="single" w:sz="8" w:space="0" w:color="auto"/>
            </w:tcBorders>
            <w:shd w:val="clear" w:color="auto" w:fill="auto"/>
            <w:vAlign w:val="center"/>
            <w:hideMark/>
          </w:tcPr>
          <w:p w14:paraId="6C1EC43B"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Vanguardia. (2025, 9 de junio). La caída en el precio y la falta de plantas de sacrificio.</w:t>
            </w:r>
          </w:p>
        </w:tc>
      </w:tr>
      <w:tr w:rsidR="00121B78" w:rsidRPr="00D55948" w14:paraId="2FF43348" w14:textId="77777777" w:rsidTr="00512F21">
        <w:trPr>
          <w:trHeight w:val="2820"/>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030BC9BB"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FAO</w:t>
            </w:r>
          </w:p>
        </w:tc>
        <w:tc>
          <w:tcPr>
            <w:tcW w:w="354" w:type="pct"/>
            <w:tcBorders>
              <w:top w:val="nil"/>
              <w:left w:val="nil"/>
              <w:bottom w:val="single" w:sz="8" w:space="0" w:color="auto"/>
              <w:right w:val="single" w:sz="8" w:space="0" w:color="auto"/>
            </w:tcBorders>
            <w:shd w:val="clear" w:color="auto" w:fill="auto"/>
            <w:vAlign w:val="center"/>
            <w:hideMark/>
          </w:tcPr>
          <w:p w14:paraId="7646CDFE"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2008</w:t>
            </w:r>
          </w:p>
        </w:tc>
        <w:tc>
          <w:tcPr>
            <w:tcW w:w="875" w:type="pct"/>
            <w:tcBorders>
              <w:top w:val="nil"/>
              <w:left w:val="nil"/>
              <w:bottom w:val="single" w:sz="8" w:space="0" w:color="auto"/>
              <w:right w:val="single" w:sz="8" w:space="0" w:color="auto"/>
            </w:tcBorders>
            <w:shd w:val="clear" w:color="auto" w:fill="auto"/>
            <w:vAlign w:val="center"/>
            <w:hideMark/>
          </w:tcPr>
          <w:p w14:paraId="155978EC" w14:textId="77777777" w:rsidR="00121B78" w:rsidRPr="006304F7" w:rsidRDefault="00121B78" w:rsidP="00512F21">
            <w:pPr>
              <w:widowControl/>
              <w:autoSpaceDE/>
              <w:autoSpaceDN/>
              <w:rPr>
                <w:color w:val="000000"/>
                <w:sz w:val="24"/>
                <w:szCs w:val="24"/>
                <w:lang w:val="en-US" w:eastAsia="es-CO"/>
              </w:rPr>
            </w:pPr>
            <w:r w:rsidRPr="006304F7">
              <w:rPr>
                <w:color w:val="000000"/>
                <w:sz w:val="24"/>
                <w:szCs w:val="24"/>
                <w:lang w:val="en-US" w:eastAsia="es-CO"/>
              </w:rPr>
              <w:t>Good Practices for the Meat Industry</w:t>
            </w:r>
          </w:p>
        </w:tc>
        <w:tc>
          <w:tcPr>
            <w:tcW w:w="866" w:type="pct"/>
            <w:tcBorders>
              <w:top w:val="nil"/>
              <w:left w:val="nil"/>
              <w:bottom w:val="single" w:sz="8" w:space="0" w:color="auto"/>
              <w:right w:val="single" w:sz="8" w:space="0" w:color="auto"/>
            </w:tcBorders>
            <w:shd w:val="clear" w:color="auto" w:fill="auto"/>
            <w:vAlign w:val="center"/>
            <w:hideMark/>
          </w:tcPr>
          <w:p w14:paraId="2480B2A7"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La FAO determina las directrices técnicas para la operación de plantas cárnicas, incluyendo el diseño de flojo de procesos, higiene, manejo de subproductos, y control de los puntos críticos de contaminación. Resalta que el cumplimiento de sistemas HACCP reduce hasta en un 40% las perdidas por contaminación cruzada y mejora la eficiencia del proceso.</w:t>
            </w:r>
          </w:p>
        </w:tc>
        <w:tc>
          <w:tcPr>
            <w:tcW w:w="862" w:type="pct"/>
            <w:tcBorders>
              <w:top w:val="nil"/>
              <w:left w:val="nil"/>
              <w:bottom w:val="single" w:sz="8" w:space="0" w:color="auto"/>
              <w:right w:val="single" w:sz="8" w:space="0" w:color="auto"/>
            </w:tcBorders>
            <w:shd w:val="clear" w:color="auto" w:fill="auto"/>
            <w:vAlign w:val="center"/>
            <w:hideMark/>
          </w:tcPr>
          <w:p w14:paraId="78527DFE"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Este manual es un referente técnico fundamental para el diseño de la planta, asegurando los estándares internacionales de inocuidad. Su aplicación fortalecería la credibilidad del proyecto y facilitara la certificación ante el INVIMA.</w:t>
            </w:r>
          </w:p>
        </w:tc>
        <w:tc>
          <w:tcPr>
            <w:tcW w:w="1324" w:type="pct"/>
            <w:tcBorders>
              <w:top w:val="nil"/>
              <w:left w:val="nil"/>
              <w:bottom w:val="single" w:sz="8" w:space="0" w:color="auto"/>
              <w:right w:val="single" w:sz="8" w:space="0" w:color="auto"/>
            </w:tcBorders>
            <w:shd w:val="clear" w:color="auto" w:fill="auto"/>
            <w:vAlign w:val="center"/>
            <w:hideMark/>
          </w:tcPr>
          <w:p w14:paraId="0FB86480" w14:textId="77777777" w:rsidR="00121B78" w:rsidRPr="006304F7" w:rsidRDefault="00121B78" w:rsidP="00512F21">
            <w:pPr>
              <w:widowControl/>
              <w:autoSpaceDE/>
              <w:autoSpaceDN/>
              <w:rPr>
                <w:color w:val="000000"/>
                <w:sz w:val="24"/>
                <w:szCs w:val="24"/>
                <w:lang w:val="en-US" w:eastAsia="es-CO"/>
              </w:rPr>
            </w:pPr>
            <w:r w:rsidRPr="006304F7">
              <w:rPr>
                <w:color w:val="000000"/>
                <w:sz w:val="24"/>
                <w:szCs w:val="24"/>
                <w:lang w:val="en-US" w:eastAsia="es-CO"/>
              </w:rPr>
              <w:t xml:space="preserve">FAO. (2008). Good Practices for the Meat Industry. </w:t>
            </w:r>
          </w:p>
        </w:tc>
      </w:tr>
      <w:tr w:rsidR="00121B78" w:rsidRPr="00D55948" w14:paraId="1E6C6FAF" w14:textId="77777777" w:rsidTr="00512F21">
        <w:trPr>
          <w:trHeight w:val="2724"/>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46600E26"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FAO</w:t>
            </w:r>
          </w:p>
        </w:tc>
        <w:tc>
          <w:tcPr>
            <w:tcW w:w="354" w:type="pct"/>
            <w:tcBorders>
              <w:top w:val="nil"/>
              <w:left w:val="nil"/>
              <w:bottom w:val="single" w:sz="8" w:space="0" w:color="auto"/>
              <w:right w:val="single" w:sz="8" w:space="0" w:color="auto"/>
            </w:tcBorders>
            <w:shd w:val="clear" w:color="auto" w:fill="auto"/>
            <w:vAlign w:val="center"/>
            <w:hideMark/>
          </w:tcPr>
          <w:p w14:paraId="6E0B9C19"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2019</w:t>
            </w:r>
          </w:p>
        </w:tc>
        <w:tc>
          <w:tcPr>
            <w:tcW w:w="875" w:type="pct"/>
            <w:tcBorders>
              <w:top w:val="nil"/>
              <w:left w:val="nil"/>
              <w:bottom w:val="single" w:sz="8" w:space="0" w:color="auto"/>
              <w:right w:val="single" w:sz="8" w:space="0" w:color="auto"/>
            </w:tcBorders>
            <w:shd w:val="clear" w:color="auto" w:fill="auto"/>
            <w:vAlign w:val="center"/>
            <w:hideMark/>
          </w:tcPr>
          <w:p w14:paraId="4E70522F" w14:textId="77777777" w:rsidR="00121B78" w:rsidRPr="006304F7" w:rsidRDefault="00121B78" w:rsidP="00512F21">
            <w:pPr>
              <w:widowControl/>
              <w:autoSpaceDE/>
              <w:autoSpaceDN/>
              <w:rPr>
                <w:color w:val="000000"/>
                <w:sz w:val="24"/>
                <w:szCs w:val="24"/>
                <w:lang w:val="en-US" w:eastAsia="es-CO"/>
              </w:rPr>
            </w:pPr>
            <w:r w:rsidRPr="006304F7">
              <w:rPr>
                <w:color w:val="000000"/>
                <w:sz w:val="24"/>
                <w:szCs w:val="24"/>
                <w:lang w:val="en-US" w:eastAsia="es-CO"/>
              </w:rPr>
              <w:t>Guidelines for Humane Handling, Transport and Slaughter of Livestock</w:t>
            </w:r>
          </w:p>
        </w:tc>
        <w:tc>
          <w:tcPr>
            <w:tcW w:w="866" w:type="pct"/>
            <w:tcBorders>
              <w:top w:val="nil"/>
              <w:left w:val="nil"/>
              <w:bottom w:val="single" w:sz="8" w:space="0" w:color="auto"/>
              <w:right w:val="single" w:sz="8" w:space="0" w:color="auto"/>
            </w:tcBorders>
            <w:shd w:val="clear" w:color="auto" w:fill="auto"/>
            <w:vAlign w:val="center"/>
            <w:hideMark/>
          </w:tcPr>
          <w:p w14:paraId="460DAC84"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El documento presenta protocolos internacionales para el manejo humanitario y el sacrificio de animales, destacando que un manejo incorrecto puede reducir la calidad de la carne y ocasionar perdidas del 5% al 10% en peso del canal. Incentivas prácticas para minimizar el estrés animal e incrementen el bienestar animal en el transporte y el sacrificio.</w:t>
            </w:r>
          </w:p>
        </w:tc>
        <w:tc>
          <w:tcPr>
            <w:tcW w:w="862" w:type="pct"/>
            <w:tcBorders>
              <w:top w:val="nil"/>
              <w:left w:val="nil"/>
              <w:bottom w:val="single" w:sz="8" w:space="0" w:color="auto"/>
              <w:right w:val="single" w:sz="8" w:space="0" w:color="auto"/>
            </w:tcBorders>
            <w:shd w:val="clear" w:color="auto" w:fill="auto"/>
            <w:vAlign w:val="center"/>
            <w:hideMark/>
          </w:tcPr>
          <w:p w14:paraId="15A01CD2"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Estas pautas orientan la formulación de procesos de recepción y sacrificio en la planta propuesta, asegurando el bienestar animal, mejorando la calidad del producto y cumpliendo la normativa vigente.</w:t>
            </w:r>
          </w:p>
        </w:tc>
        <w:tc>
          <w:tcPr>
            <w:tcW w:w="1324" w:type="pct"/>
            <w:tcBorders>
              <w:top w:val="nil"/>
              <w:left w:val="nil"/>
              <w:bottom w:val="single" w:sz="8" w:space="0" w:color="auto"/>
              <w:right w:val="single" w:sz="8" w:space="0" w:color="auto"/>
            </w:tcBorders>
            <w:shd w:val="clear" w:color="auto" w:fill="auto"/>
            <w:vAlign w:val="center"/>
            <w:hideMark/>
          </w:tcPr>
          <w:p w14:paraId="3A7E681A" w14:textId="77777777" w:rsidR="00121B78" w:rsidRPr="006304F7" w:rsidRDefault="00121B78" w:rsidP="00512F21">
            <w:pPr>
              <w:widowControl/>
              <w:autoSpaceDE/>
              <w:autoSpaceDN/>
              <w:rPr>
                <w:color w:val="000000"/>
                <w:sz w:val="24"/>
                <w:szCs w:val="24"/>
                <w:lang w:val="en-US" w:eastAsia="es-CO"/>
              </w:rPr>
            </w:pPr>
            <w:r w:rsidRPr="006304F7">
              <w:rPr>
                <w:color w:val="000000"/>
                <w:sz w:val="24"/>
                <w:szCs w:val="24"/>
                <w:lang w:val="en-US" w:eastAsia="es-CO"/>
              </w:rPr>
              <w:t xml:space="preserve">FAO. (2019). Guidelines for Humane Handling, Transport and Slaughter of Livestock. </w:t>
            </w:r>
          </w:p>
        </w:tc>
      </w:tr>
      <w:tr w:rsidR="00121B78" w:rsidRPr="003E3195" w14:paraId="4FCD069E" w14:textId="77777777" w:rsidTr="00512F21">
        <w:trPr>
          <w:trHeight w:val="2508"/>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410555EE"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Revista Colombiana de Ciencias Pecuarias (U. de Antioquia)</w:t>
            </w:r>
          </w:p>
        </w:tc>
        <w:tc>
          <w:tcPr>
            <w:tcW w:w="354" w:type="pct"/>
            <w:tcBorders>
              <w:top w:val="nil"/>
              <w:left w:val="nil"/>
              <w:bottom w:val="single" w:sz="8" w:space="0" w:color="auto"/>
              <w:right w:val="single" w:sz="8" w:space="0" w:color="auto"/>
            </w:tcBorders>
            <w:shd w:val="clear" w:color="auto" w:fill="auto"/>
            <w:vAlign w:val="center"/>
            <w:hideMark/>
          </w:tcPr>
          <w:p w14:paraId="04BE5EA3"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2017</w:t>
            </w:r>
          </w:p>
        </w:tc>
        <w:tc>
          <w:tcPr>
            <w:tcW w:w="875" w:type="pct"/>
            <w:tcBorders>
              <w:top w:val="nil"/>
              <w:left w:val="nil"/>
              <w:bottom w:val="single" w:sz="8" w:space="0" w:color="auto"/>
              <w:right w:val="single" w:sz="8" w:space="0" w:color="auto"/>
            </w:tcBorders>
            <w:shd w:val="clear" w:color="auto" w:fill="auto"/>
            <w:vAlign w:val="center"/>
            <w:hideMark/>
          </w:tcPr>
          <w:p w14:paraId="16413828"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Transporte de cerdos y sus repercusiones en el bienestar animal</w:t>
            </w:r>
          </w:p>
        </w:tc>
        <w:tc>
          <w:tcPr>
            <w:tcW w:w="866" w:type="pct"/>
            <w:tcBorders>
              <w:top w:val="nil"/>
              <w:left w:val="nil"/>
              <w:bottom w:val="single" w:sz="8" w:space="0" w:color="auto"/>
              <w:right w:val="single" w:sz="8" w:space="0" w:color="auto"/>
            </w:tcBorders>
            <w:shd w:val="clear" w:color="auto" w:fill="auto"/>
            <w:vAlign w:val="center"/>
            <w:hideMark/>
          </w:tcPr>
          <w:p w14:paraId="5F141F0F"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El estudio demostró que periodos largos de transporte sin descanso genera lesiones musculares y hematomas en más del 20% de los animales, afectando la calidad de la carne y </w:t>
            </w:r>
            <w:r w:rsidRPr="003E3195">
              <w:rPr>
                <w:color w:val="000000"/>
                <w:sz w:val="24"/>
                <w:szCs w:val="24"/>
                <w:lang w:val="es-CO" w:eastAsia="es-CO"/>
              </w:rPr>
              <w:lastRenderedPageBreak/>
              <w:t>pérdidas económicas del sector. Se propone la necesidad de establecer tiempos de descanso, control de temperatura y densidad de carga optima.</w:t>
            </w:r>
          </w:p>
        </w:tc>
        <w:tc>
          <w:tcPr>
            <w:tcW w:w="862" w:type="pct"/>
            <w:tcBorders>
              <w:top w:val="nil"/>
              <w:left w:val="nil"/>
              <w:bottom w:val="single" w:sz="8" w:space="0" w:color="auto"/>
              <w:right w:val="single" w:sz="8" w:space="0" w:color="auto"/>
            </w:tcBorders>
            <w:shd w:val="clear" w:color="auto" w:fill="auto"/>
            <w:vAlign w:val="center"/>
            <w:hideMark/>
          </w:tcPr>
          <w:p w14:paraId="21F87C0F"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 xml:space="preserve">Los hallazgos sustentan la importancia de incluir zonas de descanso adecuadas y protocolos de manejo animal en una planta de sacrificio, reduciendo perdidas y cumpliendo estándares de </w:t>
            </w:r>
            <w:r w:rsidRPr="003E3195">
              <w:rPr>
                <w:color w:val="000000"/>
                <w:sz w:val="24"/>
                <w:szCs w:val="24"/>
                <w:lang w:val="es-CO" w:eastAsia="es-CO"/>
              </w:rPr>
              <w:lastRenderedPageBreak/>
              <w:t>bienestar animal.</w:t>
            </w:r>
          </w:p>
        </w:tc>
        <w:tc>
          <w:tcPr>
            <w:tcW w:w="1324" w:type="pct"/>
            <w:tcBorders>
              <w:top w:val="nil"/>
              <w:left w:val="nil"/>
              <w:bottom w:val="single" w:sz="8" w:space="0" w:color="auto"/>
              <w:right w:val="single" w:sz="8" w:space="0" w:color="auto"/>
            </w:tcBorders>
            <w:shd w:val="clear" w:color="auto" w:fill="auto"/>
            <w:vAlign w:val="center"/>
            <w:hideMark/>
          </w:tcPr>
          <w:p w14:paraId="54BC1DB8"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 xml:space="preserve">Uribe-Corrales, N., et al. (2017). Rev. Col. Cienc. Pec., 30(1), 149–158. </w:t>
            </w:r>
          </w:p>
        </w:tc>
      </w:tr>
      <w:tr w:rsidR="00121B78" w:rsidRPr="003E3195" w14:paraId="47E7FE62" w14:textId="77777777" w:rsidTr="00512F21">
        <w:trPr>
          <w:trHeight w:val="2196"/>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0783AF06"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Revista MVZ Córdoba (U. de Córdoba)</w:t>
            </w:r>
          </w:p>
        </w:tc>
        <w:tc>
          <w:tcPr>
            <w:tcW w:w="354" w:type="pct"/>
            <w:tcBorders>
              <w:top w:val="nil"/>
              <w:left w:val="nil"/>
              <w:bottom w:val="single" w:sz="8" w:space="0" w:color="auto"/>
              <w:right w:val="single" w:sz="8" w:space="0" w:color="auto"/>
            </w:tcBorders>
            <w:shd w:val="clear" w:color="auto" w:fill="auto"/>
            <w:vAlign w:val="center"/>
            <w:hideMark/>
          </w:tcPr>
          <w:p w14:paraId="61DE2190"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2018</w:t>
            </w:r>
          </w:p>
        </w:tc>
        <w:tc>
          <w:tcPr>
            <w:tcW w:w="875" w:type="pct"/>
            <w:tcBorders>
              <w:top w:val="nil"/>
              <w:left w:val="nil"/>
              <w:bottom w:val="single" w:sz="8" w:space="0" w:color="auto"/>
              <w:right w:val="single" w:sz="8" w:space="0" w:color="auto"/>
            </w:tcBorders>
            <w:shd w:val="clear" w:color="auto" w:fill="auto"/>
            <w:vAlign w:val="center"/>
            <w:hideMark/>
          </w:tcPr>
          <w:p w14:paraId="21BA8DD8"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Prevalencia de </w:t>
            </w:r>
            <w:r w:rsidRPr="003E3195">
              <w:rPr>
                <w:i/>
                <w:iCs/>
                <w:color w:val="000000"/>
                <w:sz w:val="24"/>
                <w:szCs w:val="24"/>
                <w:lang w:val="es-CO" w:eastAsia="es-CO"/>
              </w:rPr>
              <w:t>Salmonella spp.</w:t>
            </w:r>
            <w:r w:rsidRPr="003E3195">
              <w:rPr>
                <w:color w:val="000000"/>
                <w:sz w:val="24"/>
                <w:szCs w:val="24"/>
                <w:lang w:val="es-CO" w:eastAsia="es-CO"/>
              </w:rPr>
              <w:t xml:space="preserve"> en ganglios mesentéricos de porcinos</w:t>
            </w:r>
          </w:p>
        </w:tc>
        <w:tc>
          <w:tcPr>
            <w:tcW w:w="866" w:type="pct"/>
            <w:tcBorders>
              <w:top w:val="nil"/>
              <w:left w:val="nil"/>
              <w:bottom w:val="single" w:sz="8" w:space="0" w:color="auto"/>
              <w:right w:val="single" w:sz="8" w:space="0" w:color="auto"/>
            </w:tcBorders>
            <w:shd w:val="clear" w:color="auto" w:fill="auto"/>
            <w:vAlign w:val="center"/>
            <w:hideMark/>
          </w:tcPr>
          <w:p w14:paraId="0CE06CF7"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La investigación evidencio la presencia de </w:t>
            </w:r>
            <w:r w:rsidRPr="003E3195">
              <w:rPr>
                <w:i/>
                <w:iCs/>
                <w:color w:val="000000"/>
                <w:sz w:val="24"/>
                <w:szCs w:val="24"/>
                <w:lang w:val="es-CO" w:eastAsia="es-CO"/>
              </w:rPr>
              <w:t>Salmonella spp</w:t>
            </w:r>
            <w:r w:rsidRPr="003E3195">
              <w:rPr>
                <w:color w:val="000000"/>
                <w:sz w:val="24"/>
                <w:szCs w:val="24"/>
                <w:lang w:val="es-CO" w:eastAsia="es-CO"/>
              </w:rPr>
              <w:t>. en el 15,2% de las muestras recolectadas en plantas de sacrificio del país, principalmente en la etapa de eviscerado. Se recomienda reforzar la sanitización de equipos y la implementación de sistemas HACCP.</w:t>
            </w:r>
          </w:p>
        </w:tc>
        <w:tc>
          <w:tcPr>
            <w:tcW w:w="862" w:type="pct"/>
            <w:tcBorders>
              <w:top w:val="nil"/>
              <w:left w:val="nil"/>
              <w:bottom w:val="single" w:sz="8" w:space="0" w:color="auto"/>
              <w:right w:val="single" w:sz="8" w:space="0" w:color="auto"/>
            </w:tcBorders>
            <w:shd w:val="clear" w:color="auto" w:fill="auto"/>
            <w:vAlign w:val="center"/>
            <w:hideMark/>
          </w:tcPr>
          <w:p w14:paraId="18C0FCE0"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Estas investigaciones respaldan la importancia de incluir controles microbiológicos continuamente en plantas de beneficio, asegurando la inocuidad alimentaria y la confianza del consumidor final.</w:t>
            </w:r>
          </w:p>
        </w:tc>
        <w:tc>
          <w:tcPr>
            <w:tcW w:w="1324" w:type="pct"/>
            <w:tcBorders>
              <w:top w:val="nil"/>
              <w:left w:val="nil"/>
              <w:bottom w:val="single" w:sz="8" w:space="0" w:color="auto"/>
              <w:right w:val="single" w:sz="8" w:space="0" w:color="auto"/>
            </w:tcBorders>
            <w:shd w:val="clear" w:color="auto" w:fill="auto"/>
            <w:vAlign w:val="center"/>
            <w:hideMark/>
          </w:tcPr>
          <w:p w14:paraId="3EB1D93E"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Ayala-Romero, C., et al. (2018). Rev. MVZ Córdoba, 23(1), 6474–6486. </w:t>
            </w:r>
          </w:p>
        </w:tc>
      </w:tr>
      <w:tr w:rsidR="00121B78" w:rsidRPr="003E3195" w14:paraId="0E8876C2" w14:textId="77777777" w:rsidTr="00512F21">
        <w:trPr>
          <w:trHeight w:val="2508"/>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2A16CDCB" w14:textId="77777777" w:rsidR="00121B78" w:rsidRPr="006304F7" w:rsidRDefault="00121B78" w:rsidP="00512F21">
            <w:pPr>
              <w:widowControl/>
              <w:autoSpaceDE/>
              <w:autoSpaceDN/>
              <w:rPr>
                <w:color w:val="000000"/>
                <w:sz w:val="24"/>
                <w:szCs w:val="24"/>
                <w:lang w:val="en-US" w:eastAsia="es-CO"/>
              </w:rPr>
            </w:pPr>
            <w:r w:rsidRPr="006304F7">
              <w:rPr>
                <w:color w:val="000000"/>
                <w:sz w:val="24"/>
                <w:szCs w:val="24"/>
                <w:lang w:val="en-US" w:eastAsia="es-CO"/>
              </w:rPr>
              <w:t>CES Med. Vet. Zootec. (U. CES)</w:t>
            </w:r>
          </w:p>
        </w:tc>
        <w:tc>
          <w:tcPr>
            <w:tcW w:w="354" w:type="pct"/>
            <w:tcBorders>
              <w:top w:val="nil"/>
              <w:left w:val="nil"/>
              <w:bottom w:val="single" w:sz="8" w:space="0" w:color="auto"/>
              <w:right w:val="single" w:sz="8" w:space="0" w:color="auto"/>
            </w:tcBorders>
            <w:shd w:val="clear" w:color="auto" w:fill="auto"/>
            <w:vAlign w:val="center"/>
            <w:hideMark/>
          </w:tcPr>
          <w:p w14:paraId="47E1B691"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2014</w:t>
            </w:r>
          </w:p>
        </w:tc>
        <w:tc>
          <w:tcPr>
            <w:tcW w:w="875" w:type="pct"/>
            <w:tcBorders>
              <w:top w:val="nil"/>
              <w:left w:val="nil"/>
              <w:bottom w:val="single" w:sz="8" w:space="0" w:color="auto"/>
              <w:right w:val="single" w:sz="8" w:space="0" w:color="auto"/>
            </w:tcBorders>
            <w:shd w:val="clear" w:color="auto" w:fill="auto"/>
            <w:vAlign w:val="center"/>
            <w:hideMark/>
          </w:tcPr>
          <w:p w14:paraId="3925C001"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Susceptibilidad antimicrobiana de Salmonella entérica en plantas porcinas</w:t>
            </w:r>
          </w:p>
        </w:tc>
        <w:tc>
          <w:tcPr>
            <w:tcW w:w="866" w:type="pct"/>
            <w:tcBorders>
              <w:top w:val="nil"/>
              <w:left w:val="nil"/>
              <w:bottom w:val="single" w:sz="8" w:space="0" w:color="auto"/>
              <w:right w:val="single" w:sz="8" w:space="0" w:color="auto"/>
            </w:tcBorders>
            <w:shd w:val="clear" w:color="auto" w:fill="auto"/>
            <w:vAlign w:val="center"/>
            <w:hideMark/>
          </w:tcPr>
          <w:p w14:paraId="7843AC58"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El estudio evaluó 78 aislamientos de Salmonella entérica en plantas de sacrificio en Antioquia y Cundinamarc</w:t>
            </w:r>
            <w:r w:rsidRPr="003E3195">
              <w:rPr>
                <w:color w:val="000000"/>
                <w:sz w:val="24"/>
                <w:szCs w:val="24"/>
                <w:lang w:val="es-CO" w:eastAsia="es-CO"/>
              </w:rPr>
              <w:lastRenderedPageBreak/>
              <w:t>a, se evidencio que el 35% mostro resistencia antimicrobiana a al menos un antibiótico. Se evidencio un eficiente control sanitario en los procesos de eviscerado y en la limpieza de equipos</w:t>
            </w:r>
          </w:p>
        </w:tc>
        <w:tc>
          <w:tcPr>
            <w:tcW w:w="862" w:type="pct"/>
            <w:tcBorders>
              <w:top w:val="nil"/>
              <w:left w:val="nil"/>
              <w:bottom w:val="single" w:sz="8" w:space="0" w:color="auto"/>
              <w:right w:val="single" w:sz="8" w:space="0" w:color="auto"/>
            </w:tcBorders>
            <w:shd w:val="clear" w:color="auto" w:fill="auto"/>
            <w:vAlign w:val="center"/>
            <w:hideMark/>
          </w:tcPr>
          <w:p w14:paraId="57379ED5"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 xml:space="preserve">Esta investigación refuerza la importancia de un estricto plan de saneamiento en la Planta de Beneficio </w:t>
            </w:r>
            <w:r w:rsidRPr="003E3195">
              <w:rPr>
                <w:color w:val="000000"/>
                <w:sz w:val="24"/>
                <w:szCs w:val="24"/>
                <w:lang w:val="es-CO" w:eastAsia="es-CO"/>
              </w:rPr>
              <w:lastRenderedPageBreak/>
              <w:t>del Oriente, incluyendo un sistema POES y verificaciones de limpieza y desinfección, para garantizar la inocuidad y el cumplimiento sanitario ante el INVIMA.</w:t>
            </w:r>
          </w:p>
        </w:tc>
        <w:tc>
          <w:tcPr>
            <w:tcW w:w="1324" w:type="pct"/>
            <w:tcBorders>
              <w:top w:val="nil"/>
              <w:left w:val="nil"/>
              <w:bottom w:val="single" w:sz="8" w:space="0" w:color="auto"/>
              <w:right w:val="single" w:sz="8" w:space="0" w:color="auto"/>
            </w:tcBorders>
            <w:shd w:val="clear" w:color="auto" w:fill="auto"/>
            <w:vAlign w:val="center"/>
            <w:hideMark/>
          </w:tcPr>
          <w:p w14:paraId="0BD53CC1"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 xml:space="preserve">Bermúdez, P. M., et al. (2014). CES Med. Vet. Zootec., 9(1), 83–96. </w:t>
            </w:r>
          </w:p>
        </w:tc>
      </w:tr>
      <w:tr w:rsidR="00121B78" w:rsidRPr="003E3195" w14:paraId="4EF43F56" w14:textId="77777777" w:rsidTr="00512F21">
        <w:trPr>
          <w:trHeight w:val="2508"/>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24409E43"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MVZ Córdoba (SciELO)</w:t>
            </w:r>
          </w:p>
        </w:tc>
        <w:tc>
          <w:tcPr>
            <w:tcW w:w="354" w:type="pct"/>
            <w:tcBorders>
              <w:top w:val="nil"/>
              <w:left w:val="nil"/>
              <w:bottom w:val="single" w:sz="8" w:space="0" w:color="auto"/>
              <w:right w:val="single" w:sz="8" w:space="0" w:color="auto"/>
            </w:tcBorders>
            <w:shd w:val="clear" w:color="auto" w:fill="auto"/>
            <w:vAlign w:val="center"/>
            <w:hideMark/>
          </w:tcPr>
          <w:p w14:paraId="5E042324"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2023</w:t>
            </w:r>
          </w:p>
        </w:tc>
        <w:tc>
          <w:tcPr>
            <w:tcW w:w="875" w:type="pct"/>
            <w:tcBorders>
              <w:top w:val="nil"/>
              <w:left w:val="nil"/>
              <w:bottom w:val="single" w:sz="8" w:space="0" w:color="auto"/>
              <w:right w:val="single" w:sz="8" w:space="0" w:color="auto"/>
            </w:tcBorders>
            <w:shd w:val="clear" w:color="auto" w:fill="auto"/>
            <w:vAlign w:val="center"/>
            <w:hideMark/>
          </w:tcPr>
          <w:p w14:paraId="5FC4FBC3" w14:textId="77777777" w:rsidR="00121B78" w:rsidRPr="003E3195" w:rsidRDefault="00121B78" w:rsidP="00512F21">
            <w:pPr>
              <w:widowControl/>
              <w:autoSpaceDE/>
              <w:autoSpaceDN/>
              <w:rPr>
                <w:i/>
                <w:iCs/>
                <w:color w:val="000000"/>
                <w:sz w:val="24"/>
                <w:szCs w:val="24"/>
                <w:lang w:val="es-CO" w:eastAsia="es-CO"/>
              </w:rPr>
            </w:pPr>
            <w:r w:rsidRPr="003E3195">
              <w:rPr>
                <w:i/>
                <w:iCs/>
                <w:color w:val="000000"/>
                <w:sz w:val="24"/>
                <w:szCs w:val="24"/>
                <w:lang w:val="es-CO" w:eastAsia="es-CO"/>
              </w:rPr>
              <w:t>E. coli</w:t>
            </w:r>
            <w:r w:rsidRPr="003E3195">
              <w:rPr>
                <w:color w:val="000000"/>
                <w:sz w:val="24"/>
                <w:szCs w:val="24"/>
                <w:lang w:val="es-CO" w:eastAsia="es-CO"/>
              </w:rPr>
              <w:t xml:space="preserve"> y </w:t>
            </w:r>
            <w:r w:rsidRPr="003E3195">
              <w:rPr>
                <w:i/>
                <w:iCs/>
                <w:color w:val="000000"/>
                <w:sz w:val="24"/>
                <w:szCs w:val="24"/>
                <w:lang w:val="es-CO" w:eastAsia="es-CO"/>
              </w:rPr>
              <w:t xml:space="preserve">Salmonella </w:t>
            </w:r>
            <w:r w:rsidRPr="003E3195">
              <w:rPr>
                <w:color w:val="000000"/>
                <w:sz w:val="24"/>
                <w:szCs w:val="24"/>
                <w:lang w:val="es-CO" w:eastAsia="es-CO"/>
              </w:rPr>
              <w:t>portadoras de mcr-1 en planta de beneficio porcino (Medellín)</w:t>
            </w:r>
          </w:p>
        </w:tc>
        <w:tc>
          <w:tcPr>
            <w:tcW w:w="866" w:type="pct"/>
            <w:tcBorders>
              <w:top w:val="nil"/>
              <w:left w:val="nil"/>
              <w:bottom w:val="single" w:sz="8" w:space="0" w:color="auto"/>
              <w:right w:val="single" w:sz="8" w:space="0" w:color="auto"/>
            </w:tcBorders>
            <w:shd w:val="clear" w:color="auto" w:fill="auto"/>
            <w:vAlign w:val="center"/>
            <w:hideMark/>
          </w:tcPr>
          <w:p w14:paraId="22FB3FF5"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El estudio encontró el gen mcr-1 de resistencia antimicrobiana en </w:t>
            </w:r>
            <w:r w:rsidRPr="003E3195">
              <w:rPr>
                <w:i/>
                <w:iCs/>
                <w:color w:val="000000"/>
                <w:sz w:val="24"/>
                <w:szCs w:val="24"/>
                <w:lang w:val="es-CO" w:eastAsia="es-CO"/>
              </w:rPr>
              <w:t>E. coli</w:t>
            </w:r>
            <w:r w:rsidRPr="003E3195">
              <w:rPr>
                <w:color w:val="000000"/>
                <w:sz w:val="24"/>
                <w:szCs w:val="24"/>
                <w:lang w:val="es-CO" w:eastAsia="es-CO"/>
              </w:rPr>
              <w:t xml:space="preserve"> y </w:t>
            </w:r>
            <w:r w:rsidRPr="003E3195">
              <w:rPr>
                <w:i/>
                <w:iCs/>
                <w:color w:val="000000"/>
                <w:sz w:val="24"/>
                <w:szCs w:val="24"/>
                <w:lang w:val="es-CO" w:eastAsia="es-CO"/>
              </w:rPr>
              <w:t xml:space="preserve">Salmonela </w:t>
            </w:r>
            <w:r w:rsidRPr="003E3195">
              <w:rPr>
                <w:color w:val="000000"/>
                <w:sz w:val="24"/>
                <w:szCs w:val="24"/>
                <w:lang w:val="es-CO" w:eastAsia="es-CO"/>
              </w:rPr>
              <w:t>aisladas en una planta de beneficio en Medellín, con una prevalencia del 12% en las muestras. La investigación alerta sobre el riesgo de transmisión de resistencia bacteriana a través de la carne de cerdo.</w:t>
            </w:r>
          </w:p>
        </w:tc>
        <w:tc>
          <w:tcPr>
            <w:tcW w:w="862" w:type="pct"/>
            <w:tcBorders>
              <w:top w:val="nil"/>
              <w:left w:val="nil"/>
              <w:bottom w:val="single" w:sz="8" w:space="0" w:color="auto"/>
              <w:right w:val="single" w:sz="8" w:space="0" w:color="auto"/>
            </w:tcBorders>
            <w:shd w:val="clear" w:color="auto" w:fill="auto"/>
            <w:vAlign w:val="center"/>
            <w:hideMark/>
          </w:tcPr>
          <w:p w14:paraId="1BD164DC"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El documento demuestra la importancia de implementar programas de monitoreo microbiológico permanente en la planta propuesta.</w:t>
            </w:r>
          </w:p>
        </w:tc>
        <w:tc>
          <w:tcPr>
            <w:tcW w:w="1324" w:type="pct"/>
            <w:tcBorders>
              <w:top w:val="nil"/>
              <w:left w:val="nil"/>
              <w:bottom w:val="single" w:sz="8" w:space="0" w:color="auto"/>
              <w:right w:val="single" w:sz="8" w:space="0" w:color="auto"/>
            </w:tcBorders>
            <w:shd w:val="clear" w:color="auto" w:fill="auto"/>
            <w:vAlign w:val="center"/>
            <w:hideMark/>
          </w:tcPr>
          <w:p w14:paraId="4B171101"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Palacio-Arias, C. A. P., et al. (2023). Rev. MVZ Córdoba, 28(3), e3219.</w:t>
            </w:r>
          </w:p>
        </w:tc>
      </w:tr>
      <w:tr w:rsidR="00121B78" w:rsidRPr="003E3195" w14:paraId="7F02CFF3" w14:textId="77777777" w:rsidTr="00512F21">
        <w:trPr>
          <w:trHeight w:val="2820"/>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0B2E9645"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Función Pública – Gestor Normativo</w:t>
            </w:r>
          </w:p>
        </w:tc>
        <w:tc>
          <w:tcPr>
            <w:tcW w:w="354" w:type="pct"/>
            <w:tcBorders>
              <w:top w:val="nil"/>
              <w:left w:val="nil"/>
              <w:bottom w:val="single" w:sz="8" w:space="0" w:color="auto"/>
              <w:right w:val="single" w:sz="8" w:space="0" w:color="auto"/>
            </w:tcBorders>
            <w:shd w:val="clear" w:color="auto" w:fill="auto"/>
            <w:vAlign w:val="center"/>
            <w:hideMark/>
          </w:tcPr>
          <w:p w14:paraId="1547883F"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2007 (cons. 2025)</w:t>
            </w:r>
          </w:p>
        </w:tc>
        <w:tc>
          <w:tcPr>
            <w:tcW w:w="875" w:type="pct"/>
            <w:tcBorders>
              <w:top w:val="nil"/>
              <w:left w:val="nil"/>
              <w:bottom w:val="single" w:sz="8" w:space="0" w:color="auto"/>
              <w:right w:val="single" w:sz="8" w:space="0" w:color="auto"/>
            </w:tcBorders>
            <w:shd w:val="clear" w:color="auto" w:fill="auto"/>
            <w:vAlign w:val="center"/>
            <w:hideMark/>
          </w:tcPr>
          <w:p w14:paraId="74428EAF"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Decreto 1500 de 2007</w:t>
            </w:r>
          </w:p>
        </w:tc>
        <w:tc>
          <w:tcPr>
            <w:tcW w:w="866" w:type="pct"/>
            <w:tcBorders>
              <w:top w:val="nil"/>
              <w:left w:val="nil"/>
              <w:bottom w:val="single" w:sz="8" w:space="0" w:color="auto"/>
              <w:right w:val="single" w:sz="8" w:space="0" w:color="auto"/>
            </w:tcBorders>
            <w:shd w:val="clear" w:color="auto" w:fill="auto"/>
            <w:vAlign w:val="center"/>
            <w:hideMark/>
          </w:tcPr>
          <w:p w14:paraId="3868B973"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El decreto constituye el marco legal que establece el Sistema Oficial de Inspección, Vigilancia y Control para la carne y los productos cárnicos en Colombia. Establece que todo proceso debe ser realizado en plantas autorizadas y certificadas por el INVIMA, cumpliendo con estándares de infraestructura, control sanitario y HACCP.</w:t>
            </w:r>
          </w:p>
        </w:tc>
        <w:tc>
          <w:tcPr>
            <w:tcW w:w="862" w:type="pct"/>
            <w:tcBorders>
              <w:top w:val="nil"/>
              <w:left w:val="nil"/>
              <w:bottom w:val="single" w:sz="8" w:space="0" w:color="auto"/>
              <w:right w:val="single" w:sz="8" w:space="0" w:color="auto"/>
            </w:tcBorders>
            <w:shd w:val="clear" w:color="auto" w:fill="auto"/>
            <w:vAlign w:val="center"/>
            <w:hideMark/>
          </w:tcPr>
          <w:p w14:paraId="249F3D95"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Este decreto es el soporte jurídico principal del proyecto. La planta de beneficio deberá establecerse bajo sus lineamientos para lograr la certificación sanitaria, garantizando la operación legal y segura.</w:t>
            </w:r>
          </w:p>
        </w:tc>
        <w:tc>
          <w:tcPr>
            <w:tcW w:w="1324" w:type="pct"/>
            <w:tcBorders>
              <w:top w:val="nil"/>
              <w:left w:val="nil"/>
              <w:bottom w:val="single" w:sz="8" w:space="0" w:color="auto"/>
              <w:right w:val="single" w:sz="8" w:space="0" w:color="auto"/>
            </w:tcBorders>
            <w:shd w:val="clear" w:color="auto" w:fill="auto"/>
            <w:vAlign w:val="center"/>
            <w:hideMark/>
          </w:tcPr>
          <w:p w14:paraId="0C0A3794"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Colombia, Presidencia. (2007). Decreto 1500 de 2007. </w:t>
            </w:r>
          </w:p>
        </w:tc>
      </w:tr>
      <w:tr w:rsidR="00121B78" w:rsidRPr="003E3195" w14:paraId="2EE51EEB" w14:textId="77777777" w:rsidTr="00512F21">
        <w:trPr>
          <w:trHeight w:val="2508"/>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29F09D68"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INVIMA</w:t>
            </w:r>
          </w:p>
        </w:tc>
        <w:tc>
          <w:tcPr>
            <w:tcW w:w="354" w:type="pct"/>
            <w:tcBorders>
              <w:top w:val="nil"/>
              <w:left w:val="nil"/>
              <w:bottom w:val="single" w:sz="8" w:space="0" w:color="auto"/>
              <w:right w:val="single" w:sz="8" w:space="0" w:color="auto"/>
            </w:tcBorders>
            <w:shd w:val="clear" w:color="auto" w:fill="auto"/>
            <w:vAlign w:val="center"/>
            <w:hideMark/>
          </w:tcPr>
          <w:p w14:paraId="0ED369A3"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2023</w:t>
            </w:r>
          </w:p>
        </w:tc>
        <w:tc>
          <w:tcPr>
            <w:tcW w:w="875" w:type="pct"/>
            <w:tcBorders>
              <w:top w:val="nil"/>
              <w:left w:val="nil"/>
              <w:bottom w:val="single" w:sz="8" w:space="0" w:color="auto"/>
              <w:right w:val="single" w:sz="8" w:space="0" w:color="auto"/>
            </w:tcBorders>
            <w:shd w:val="clear" w:color="auto" w:fill="auto"/>
            <w:vAlign w:val="center"/>
            <w:hideMark/>
          </w:tcPr>
          <w:p w14:paraId="5F88574C"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Plantas de beneficio, desposte, desprese y acondicionadores autorizados (agosto 2023)</w:t>
            </w:r>
          </w:p>
        </w:tc>
        <w:tc>
          <w:tcPr>
            <w:tcW w:w="866" w:type="pct"/>
            <w:tcBorders>
              <w:top w:val="nil"/>
              <w:left w:val="nil"/>
              <w:bottom w:val="single" w:sz="8" w:space="0" w:color="auto"/>
              <w:right w:val="single" w:sz="8" w:space="0" w:color="auto"/>
            </w:tcBorders>
            <w:shd w:val="clear" w:color="auto" w:fill="auto"/>
            <w:vAlign w:val="center"/>
            <w:hideMark/>
          </w:tcPr>
          <w:p w14:paraId="0C89EA96"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El INVIMA reporta en su listado nacional, que, para agosto del 2023, Santander no contaba con ninguna planta de sacrificio porcino habilitada, mientras que otros departamentos, como </w:t>
            </w:r>
            <w:r w:rsidRPr="003E3195">
              <w:rPr>
                <w:color w:val="000000"/>
                <w:sz w:val="24"/>
                <w:szCs w:val="24"/>
                <w:lang w:val="es-CO" w:eastAsia="es-CO"/>
              </w:rPr>
              <w:lastRenderedPageBreak/>
              <w:t>Antioquia tenía más de 10 establecimientos. Esta ausencia limita el cumplimiento de la normativa y genera dependencia de otras regiones.</w:t>
            </w:r>
          </w:p>
        </w:tc>
        <w:tc>
          <w:tcPr>
            <w:tcW w:w="862" w:type="pct"/>
            <w:tcBorders>
              <w:top w:val="nil"/>
              <w:left w:val="nil"/>
              <w:bottom w:val="single" w:sz="8" w:space="0" w:color="auto"/>
              <w:right w:val="single" w:sz="8" w:space="0" w:color="auto"/>
            </w:tcBorders>
            <w:shd w:val="clear" w:color="auto" w:fill="auto"/>
            <w:vAlign w:val="center"/>
            <w:hideMark/>
          </w:tcPr>
          <w:p w14:paraId="21F92628"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La falta de infraestructura autorizada respalda la necesidad de establecer una planta regional autorizada, que permita el cumplimiento de la ley, mejorar la trazabilidad y acceder a mercados formales.</w:t>
            </w:r>
          </w:p>
        </w:tc>
        <w:tc>
          <w:tcPr>
            <w:tcW w:w="1324" w:type="pct"/>
            <w:tcBorders>
              <w:top w:val="nil"/>
              <w:left w:val="nil"/>
              <w:bottom w:val="single" w:sz="8" w:space="0" w:color="auto"/>
              <w:right w:val="single" w:sz="8" w:space="0" w:color="auto"/>
            </w:tcBorders>
            <w:shd w:val="clear" w:color="auto" w:fill="auto"/>
            <w:vAlign w:val="center"/>
            <w:hideMark/>
          </w:tcPr>
          <w:p w14:paraId="6E397FB4"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INVIMA. (2023, agosto). Plantas de beneficio.</w:t>
            </w:r>
          </w:p>
        </w:tc>
      </w:tr>
      <w:tr w:rsidR="00121B78" w:rsidRPr="003E3195" w14:paraId="1AEA2F01" w14:textId="77777777" w:rsidTr="00512F21">
        <w:trPr>
          <w:trHeight w:val="2508"/>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26DFE109"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INVIMA</w:t>
            </w:r>
          </w:p>
        </w:tc>
        <w:tc>
          <w:tcPr>
            <w:tcW w:w="354" w:type="pct"/>
            <w:tcBorders>
              <w:top w:val="nil"/>
              <w:left w:val="nil"/>
              <w:bottom w:val="single" w:sz="8" w:space="0" w:color="auto"/>
              <w:right w:val="single" w:sz="8" w:space="0" w:color="auto"/>
            </w:tcBorders>
            <w:shd w:val="clear" w:color="auto" w:fill="auto"/>
            <w:vAlign w:val="center"/>
            <w:hideMark/>
          </w:tcPr>
          <w:p w14:paraId="75C8CA91"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2023</w:t>
            </w:r>
          </w:p>
        </w:tc>
        <w:tc>
          <w:tcPr>
            <w:tcW w:w="875" w:type="pct"/>
            <w:tcBorders>
              <w:top w:val="nil"/>
              <w:left w:val="nil"/>
              <w:bottom w:val="single" w:sz="8" w:space="0" w:color="auto"/>
              <w:right w:val="single" w:sz="8" w:space="0" w:color="auto"/>
            </w:tcBorders>
            <w:shd w:val="clear" w:color="auto" w:fill="auto"/>
            <w:vAlign w:val="center"/>
            <w:hideMark/>
          </w:tcPr>
          <w:p w14:paraId="331014A3"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Listado de plantas autorizadas para sacrificio de porcinos inmunocastrados</w:t>
            </w:r>
          </w:p>
        </w:tc>
        <w:tc>
          <w:tcPr>
            <w:tcW w:w="866" w:type="pct"/>
            <w:tcBorders>
              <w:top w:val="nil"/>
              <w:left w:val="nil"/>
              <w:bottom w:val="single" w:sz="8" w:space="0" w:color="auto"/>
              <w:right w:val="single" w:sz="8" w:space="0" w:color="auto"/>
            </w:tcBorders>
            <w:shd w:val="clear" w:color="auto" w:fill="auto"/>
            <w:vAlign w:val="center"/>
            <w:hideMark/>
          </w:tcPr>
          <w:p w14:paraId="0AF483B7"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El listado detalla los establecimientos autorizados para el sacrificio de cerdos inmunocastrados en Colombia. En 2023, solo había 41 plantas autorizadas en todo el país, esta cifra es particularmente baja si se compara con la cantidad de plantas disponibles para el sacrificio de otras especies como bovinos y aves.</w:t>
            </w:r>
          </w:p>
        </w:tc>
        <w:tc>
          <w:tcPr>
            <w:tcW w:w="862" w:type="pct"/>
            <w:tcBorders>
              <w:top w:val="nil"/>
              <w:left w:val="nil"/>
              <w:bottom w:val="single" w:sz="8" w:space="0" w:color="auto"/>
              <w:right w:val="single" w:sz="8" w:space="0" w:color="auto"/>
            </w:tcBorders>
            <w:shd w:val="clear" w:color="auto" w:fill="auto"/>
            <w:vAlign w:val="center"/>
            <w:hideMark/>
          </w:tcPr>
          <w:p w14:paraId="616DB66E"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La baja disponibilidad de plantas en el país demuestra una brecha en la capacidad de sacrificio, lo que sustenta la pertinencia del proyecto.</w:t>
            </w:r>
          </w:p>
        </w:tc>
        <w:tc>
          <w:tcPr>
            <w:tcW w:w="1324" w:type="pct"/>
            <w:tcBorders>
              <w:top w:val="nil"/>
              <w:left w:val="nil"/>
              <w:bottom w:val="single" w:sz="8" w:space="0" w:color="auto"/>
              <w:right w:val="single" w:sz="8" w:space="0" w:color="auto"/>
            </w:tcBorders>
            <w:shd w:val="clear" w:color="auto" w:fill="auto"/>
            <w:vAlign w:val="center"/>
            <w:hideMark/>
          </w:tcPr>
          <w:p w14:paraId="48FC8795"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INVIMA. (2023, jun. 22). Listado plantas autorizadas inmunocastrados. </w:t>
            </w:r>
          </w:p>
        </w:tc>
      </w:tr>
      <w:tr w:rsidR="00121B78" w:rsidRPr="003E3195" w14:paraId="0EE2DB2F" w14:textId="77777777" w:rsidTr="00512F21">
        <w:trPr>
          <w:trHeight w:val="3132"/>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251A04F8"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INVIMA</w:t>
            </w:r>
          </w:p>
        </w:tc>
        <w:tc>
          <w:tcPr>
            <w:tcW w:w="354" w:type="pct"/>
            <w:tcBorders>
              <w:top w:val="nil"/>
              <w:left w:val="nil"/>
              <w:bottom w:val="single" w:sz="8" w:space="0" w:color="auto"/>
              <w:right w:val="single" w:sz="8" w:space="0" w:color="auto"/>
            </w:tcBorders>
            <w:shd w:val="clear" w:color="auto" w:fill="auto"/>
            <w:vAlign w:val="center"/>
            <w:hideMark/>
          </w:tcPr>
          <w:p w14:paraId="723D5C22"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2025</w:t>
            </w:r>
          </w:p>
        </w:tc>
        <w:tc>
          <w:tcPr>
            <w:tcW w:w="875" w:type="pct"/>
            <w:tcBorders>
              <w:top w:val="nil"/>
              <w:left w:val="nil"/>
              <w:bottom w:val="single" w:sz="8" w:space="0" w:color="auto"/>
              <w:right w:val="single" w:sz="8" w:space="0" w:color="auto"/>
            </w:tcBorders>
            <w:shd w:val="clear" w:color="auto" w:fill="auto"/>
            <w:vAlign w:val="center"/>
            <w:hideMark/>
          </w:tcPr>
          <w:p w14:paraId="37046D7A"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Establecimientos de carnes con HACCP (febrero 2025)</w:t>
            </w:r>
          </w:p>
        </w:tc>
        <w:tc>
          <w:tcPr>
            <w:tcW w:w="866" w:type="pct"/>
            <w:tcBorders>
              <w:top w:val="nil"/>
              <w:left w:val="nil"/>
              <w:bottom w:val="single" w:sz="8" w:space="0" w:color="auto"/>
              <w:right w:val="single" w:sz="8" w:space="0" w:color="auto"/>
            </w:tcBorders>
            <w:shd w:val="clear" w:color="auto" w:fill="auto"/>
            <w:vAlign w:val="center"/>
            <w:hideMark/>
          </w:tcPr>
          <w:p w14:paraId="3FE8B52A"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Este informe muestra que, en febrero del 2025, solo 42 plantas de beneficio en Colombia, tenían certificación HACCP. La mayor concentración se encuentra en Antioquia y Cundinamarca, demostrando la desigualdad regional en el cumplimiento normativo.</w:t>
            </w:r>
          </w:p>
        </w:tc>
        <w:tc>
          <w:tcPr>
            <w:tcW w:w="862" w:type="pct"/>
            <w:tcBorders>
              <w:top w:val="nil"/>
              <w:left w:val="nil"/>
              <w:bottom w:val="single" w:sz="8" w:space="0" w:color="auto"/>
              <w:right w:val="single" w:sz="8" w:space="0" w:color="auto"/>
            </w:tcBorders>
            <w:shd w:val="clear" w:color="auto" w:fill="auto"/>
            <w:vAlign w:val="center"/>
            <w:hideMark/>
          </w:tcPr>
          <w:p w14:paraId="5D7AEFE9"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El bajo número de plantas con certificación representa una oportunidad para el proyecto de una planta de beneficio que se destaque por su inocuidad y obtenga certificaciones para garantizar la calidad.</w:t>
            </w:r>
          </w:p>
        </w:tc>
        <w:tc>
          <w:tcPr>
            <w:tcW w:w="1324" w:type="pct"/>
            <w:tcBorders>
              <w:top w:val="nil"/>
              <w:left w:val="nil"/>
              <w:bottom w:val="single" w:sz="8" w:space="0" w:color="auto"/>
              <w:right w:val="single" w:sz="8" w:space="0" w:color="auto"/>
            </w:tcBorders>
            <w:shd w:val="clear" w:color="auto" w:fill="auto"/>
            <w:vAlign w:val="center"/>
            <w:hideMark/>
          </w:tcPr>
          <w:p w14:paraId="5052ADD0"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INVIMA. (2025, feb.). LISTADO DE PLANTAS DE BENEFICIO, DESPOSTE, DESPRESE, DE ACONDICIONAMIENTO Y CENTROS DE ALMACENAMIENTO DE CARNE Y PRODUCTOS CÁRNICOS COMESTIBLES CERTIFICADOS CON EL SISTEMA HACCP</w:t>
            </w:r>
          </w:p>
        </w:tc>
      </w:tr>
      <w:tr w:rsidR="00121B78" w:rsidRPr="003E3195" w14:paraId="1D9EE342" w14:textId="77777777" w:rsidTr="00512F21">
        <w:trPr>
          <w:trHeight w:val="2148"/>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2FFF4CA7"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Ministerio de Ambiente – Res. 0631</w:t>
            </w:r>
          </w:p>
        </w:tc>
        <w:tc>
          <w:tcPr>
            <w:tcW w:w="354" w:type="pct"/>
            <w:tcBorders>
              <w:top w:val="nil"/>
              <w:left w:val="nil"/>
              <w:bottom w:val="single" w:sz="8" w:space="0" w:color="auto"/>
              <w:right w:val="single" w:sz="8" w:space="0" w:color="auto"/>
            </w:tcBorders>
            <w:shd w:val="clear" w:color="auto" w:fill="auto"/>
            <w:vAlign w:val="center"/>
            <w:hideMark/>
          </w:tcPr>
          <w:p w14:paraId="702C6D72"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2015</w:t>
            </w:r>
          </w:p>
        </w:tc>
        <w:tc>
          <w:tcPr>
            <w:tcW w:w="875" w:type="pct"/>
            <w:tcBorders>
              <w:top w:val="nil"/>
              <w:left w:val="nil"/>
              <w:bottom w:val="single" w:sz="8" w:space="0" w:color="auto"/>
              <w:right w:val="single" w:sz="8" w:space="0" w:color="auto"/>
            </w:tcBorders>
            <w:shd w:val="clear" w:color="auto" w:fill="auto"/>
            <w:vAlign w:val="center"/>
            <w:hideMark/>
          </w:tcPr>
          <w:p w14:paraId="736F92E4"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Resolución 0631 de 2015 (parámetros y límites máximos de vertimiento)</w:t>
            </w:r>
          </w:p>
        </w:tc>
        <w:tc>
          <w:tcPr>
            <w:tcW w:w="866" w:type="pct"/>
            <w:tcBorders>
              <w:top w:val="nil"/>
              <w:left w:val="nil"/>
              <w:bottom w:val="single" w:sz="8" w:space="0" w:color="auto"/>
              <w:right w:val="single" w:sz="8" w:space="0" w:color="auto"/>
            </w:tcBorders>
            <w:shd w:val="clear" w:color="auto" w:fill="auto"/>
            <w:vAlign w:val="center"/>
            <w:hideMark/>
          </w:tcPr>
          <w:p w14:paraId="1A632500"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Esta resolución define los valores máximos establecidos de vertimiento de aguas residuales a cuerpos de agua para actividades industriales. Incluye parámetros específicos para carga orgánica, DBO, grasas y solidos suspendidos, aplicables a </w:t>
            </w:r>
            <w:r w:rsidRPr="003E3195">
              <w:rPr>
                <w:color w:val="000000"/>
                <w:sz w:val="24"/>
                <w:szCs w:val="24"/>
                <w:lang w:val="es-CO" w:eastAsia="es-CO"/>
              </w:rPr>
              <w:lastRenderedPageBreak/>
              <w:t>una planta de sacrificio.</w:t>
            </w:r>
          </w:p>
        </w:tc>
        <w:tc>
          <w:tcPr>
            <w:tcW w:w="862" w:type="pct"/>
            <w:tcBorders>
              <w:top w:val="nil"/>
              <w:left w:val="nil"/>
              <w:bottom w:val="single" w:sz="8" w:space="0" w:color="auto"/>
              <w:right w:val="single" w:sz="8" w:space="0" w:color="auto"/>
            </w:tcBorders>
            <w:shd w:val="clear" w:color="auto" w:fill="auto"/>
            <w:vAlign w:val="center"/>
            <w:hideMark/>
          </w:tcPr>
          <w:p w14:paraId="688F2154"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Este documento es fundamental para diseñar el plan de tratamiento de aguas residuales y la gestión ambiental del proyecto, garantizando el cumplimiento de la normativa ambiental pertinente.</w:t>
            </w:r>
          </w:p>
        </w:tc>
        <w:tc>
          <w:tcPr>
            <w:tcW w:w="1324" w:type="pct"/>
            <w:tcBorders>
              <w:top w:val="nil"/>
              <w:left w:val="nil"/>
              <w:bottom w:val="single" w:sz="8" w:space="0" w:color="auto"/>
              <w:right w:val="single" w:sz="8" w:space="0" w:color="auto"/>
            </w:tcBorders>
            <w:shd w:val="clear" w:color="auto" w:fill="auto"/>
            <w:vAlign w:val="center"/>
            <w:hideMark/>
          </w:tcPr>
          <w:p w14:paraId="55FE736C"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Colombia, MinAmbiente. (2015). Resolución 0631 de 2015. </w:t>
            </w:r>
          </w:p>
        </w:tc>
      </w:tr>
      <w:tr w:rsidR="00121B78" w:rsidRPr="003E3195" w14:paraId="74FADFCB" w14:textId="77777777" w:rsidTr="00512F21">
        <w:trPr>
          <w:trHeight w:val="1884"/>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73811977"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MinTrabajo – Decreto 1072</w:t>
            </w:r>
          </w:p>
        </w:tc>
        <w:tc>
          <w:tcPr>
            <w:tcW w:w="354" w:type="pct"/>
            <w:tcBorders>
              <w:top w:val="nil"/>
              <w:left w:val="nil"/>
              <w:bottom w:val="single" w:sz="8" w:space="0" w:color="auto"/>
              <w:right w:val="single" w:sz="8" w:space="0" w:color="auto"/>
            </w:tcBorders>
            <w:shd w:val="clear" w:color="auto" w:fill="auto"/>
            <w:vAlign w:val="center"/>
            <w:hideMark/>
          </w:tcPr>
          <w:p w14:paraId="3ABAD6CD"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2015</w:t>
            </w:r>
          </w:p>
        </w:tc>
        <w:tc>
          <w:tcPr>
            <w:tcW w:w="875" w:type="pct"/>
            <w:tcBorders>
              <w:top w:val="nil"/>
              <w:left w:val="nil"/>
              <w:bottom w:val="single" w:sz="8" w:space="0" w:color="auto"/>
              <w:right w:val="single" w:sz="8" w:space="0" w:color="auto"/>
            </w:tcBorders>
            <w:shd w:val="clear" w:color="auto" w:fill="auto"/>
            <w:vAlign w:val="center"/>
            <w:hideMark/>
          </w:tcPr>
          <w:p w14:paraId="2CCF57F5"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Decreto 1072 de 2015 (SG-SST)</w:t>
            </w:r>
          </w:p>
        </w:tc>
        <w:tc>
          <w:tcPr>
            <w:tcW w:w="866" w:type="pct"/>
            <w:tcBorders>
              <w:top w:val="nil"/>
              <w:left w:val="nil"/>
              <w:bottom w:val="single" w:sz="8" w:space="0" w:color="auto"/>
              <w:right w:val="single" w:sz="8" w:space="0" w:color="auto"/>
            </w:tcBorders>
            <w:shd w:val="clear" w:color="auto" w:fill="auto"/>
            <w:vAlign w:val="center"/>
            <w:hideMark/>
          </w:tcPr>
          <w:p w14:paraId="296E118B"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Este decreto compila la normativa relacionada con el Sistema de Gestión de Seguridad y Salud en el Trabajo. Este obliga a las empresas a establecer los procesos de prevención, evaluación de riesgos y capacitación constante.</w:t>
            </w:r>
          </w:p>
        </w:tc>
        <w:tc>
          <w:tcPr>
            <w:tcW w:w="862" w:type="pct"/>
            <w:tcBorders>
              <w:top w:val="nil"/>
              <w:left w:val="nil"/>
              <w:bottom w:val="single" w:sz="8" w:space="0" w:color="auto"/>
              <w:right w:val="single" w:sz="8" w:space="0" w:color="auto"/>
            </w:tcBorders>
            <w:shd w:val="clear" w:color="auto" w:fill="auto"/>
            <w:vAlign w:val="center"/>
            <w:hideMark/>
          </w:tcPr>
          <w:p w14:paraId="7EA3DC88"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Su aplicación es fundamental para garantizar la protección de la salud de los trabajadores, reduciendo riesgos asociados a las actividades propias del sacrificio y procesamiento cárnico.</w:t>
            </w:r>
          </w:p>
        </w:tc>
        <w:tc>
          <w:tcPr>
            <w:tcW w:w="1324" w:type="pct"/>
            <w:tcBorders>
              <w:top w:val="nil"/>
              <w:left w:val="nil"/>
              <w:bottom w:val="single" w:sz="8" w:space="0" w:color="auto"/>
              <w:right w:val="single" w:sz="8" w:space="0" w:color="auto"/>
            </w:tcBorders>
            <w:shd w:val="clear" w:color="auto" w:fill="auto"/>
            <w:vAlign w:val="center"/>
            <w:hideMark/>
          </w:tcPr>
          <w:p w14:paraId="6F5041D8"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Colombia, MinTrabajo. (2015). Decreto 1072 de 2015. </w:t>
            </w:r>
          </w:p>
        </w:tc>
      </w:tr>
      <w:tr w:rsidR="00121B78" w:rsidRPr="003E3195" w14:paraId="78E4A22E" w14:textId="77777777" w:rsidTr="00512F21">
        <w:trPr>
          <w:trHeight w:val="2196"/>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57687757"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DNP – PND 2022–2026</w:t>
            </w:r>
          </w:p>
        </w:tc>
        <w:tc>
          <w:tcPr>
            <w:tcW w:w="354" w:type="pct"/>
            <w:tcBorders>
              <w:top w:val="nil"/>
              <w:left w:val="nil"/>
              <w:bottom w:val="single" w:sz="8" w:space="0" w:color="auto"/>
              <w:right w:val="single" w:sz="8" w:space="0" w:color="auto"/>
            </w:tcBorders>
            <w:shd w:val="clear" w:color="auto" w:fill="auto"/>
            <w:vAlign w:val="center"/>
            <w:hideMark/>
          </w:tcPr>
          <w:p w14:paraId="5DB7238A"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2023</w:t>
            </w:r>
          </w:p>
        </w:tc>
        <w:tc>
          <w:tcPr>
            <w:tcW w:w="875" w:type="pct"/>
            <w:tcBorders>
              <w:top w:val="nil"/>
              <w:left w:val="nil"/>
              <w:bottom w:val="single" w:sz="8" w:space="0" w:color="auto"/>
              <w:right w:val="single" w:sz="8" w:space="0" w:color="auto"/>
            </w:tcBorders>
            <w:shd w:val="clear" w:color="auto" w:fill="auto"/>
            <w:vAlign w:val="center"/>
            <w:hideMark/>
          </w:tcPr>
          <w:p w14:paraId="55DB444A"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Plan Nacional de Desarrollo, Colombia Potencia Mundial de la Vida</w:t>
            </w:r>
          </w:p>
        </w:tc>
        <w:tc>
          <w:tcPr>
            <w:tcW w:w="866" w:type="pct"/>
            <w:tcBorders>
              <w:top w:val="nil"/>
              <w:left w:val="nil"/>
              <w:bottom w:val="single" w:sz="8" w:space="0" w:color="auto"/>
              <w:right w:val="single" w:sz="8" w:space="0" w:color="auto"/>
            </w:tcBorders>
            <w:shd w:val="clear" w:color="auto" w:fill="auto"/>
            <w:vAlign w:val="center"/>
            <w:hideMark/>
          </w:tcPr>
          <w:p w14:paraId="57D7BEF2"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El PND contiene estrategias de fortalecimiento agroindustrial, formalización productiva y desarrollo de infraestructura en zonas rurales. Impulsa proyectos para mejorar la seguridad alimentaria, la trazabilidad y </w:t>
            </w:r>
            <w:r w:rsidRPr="003E3195">
              <w:rPr>
                <w:color w:val="000000"/>
                <w:sz w:val="24"/>
                <w:szCs w:val="24"/>
                <w:lang w:val="es-CO" w:eastAsia="es-CO"/>
              </w:rPr>
              <w:lastRenderedPageBreak/>
              <w:t>el bienestar animal.</w:t>
            </w:r>
          </w:p>
        </w:tc>
        <w:tc>
          <w:tcPr>
            <w:tcW w:w="862" w:type="pct"/>
            <w:tcBorders>
              <w:top w:val="nil"/>
              <w:left w:val="nil"/>
              <w:bottom w:val="single" w:sz="8" w:space="0" w:color="auto"/>
              <w:right w:val="single" w:sz="8" w:space="0" w:color="auto"/>
            </w:tcBorders>
            <w:shd w:val="clear" w:color="auto" w:fill="auto"/>
            <w:vAlign w:val="center"/>
            <w:hideMark/>
          </w:tcPr>
          <w:p w14:paraId="0AC5319E"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El proyecto se alinea con las metas del PND al incentivar la formalización de la producción cárnica y contribuye al desarrollo rural sostenible del departamento.</w:t>
            </w:r>
          </w:p>
        </w:tc>
        <w:tc>
          <w:tcPr>
            <w:tcW w:w="1324" w:type="pct"/>
            <w:tcBorders>
              <w:top w:val="nil"/>
              <w:left w:val="nil"/>
              <w:bottom w:val="single" w:sz="8" w:space="0" w:color="auto"/>
              <w:right w:val="single" w:sz="8" w:space="0" w:color="auto"/>
            </w:tcBorders>
            <w:shd w:val="clear" w:color="auto" w:fill="auto"/>
            <w:vAlign w:val="center"/>
            <w:hideMark/>
          </w:tcPr>
          <w:p w14:paraId="4A0D3CDC"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Departamento Nacional de Planeación. (2023). PND 2022–2026. </w:t>
            </w:r>
          </w:p>
        </w:tc>
      </w:tr>
      <w:tr w:rsidR="00121B78" w:rsidRPr="003E3195" w14:paraId="0CD09059" w14:textId="77777777" w:rsidTr="00512F21">
        <w:trPr>
          <w:trHeight w:val="1392"/>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762EABE1"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Banco de la República</w:t>
            </w:r>
          </w:p>
        </w:tc>
        <w:tc>
          <w:tcPr>
            <w:tcW w:w="354" w:type="pct"/>
            <w:tcBorders>
              <w:top w:val="nil"/>
              <w:left w:val="nil"/>
              <w:bottom w:val="single" w:sz="8" w:space="0" w:color="auto"/>
              <w:right w:val="single" w:sz="8" w:space="0" w:color="auto"/>
            </w:tcBorders>
            <w:shd w:val="clear" w:color="auto" w:fill="auto"/>
            <w:vAlign w:val="center"/>
            <w:hideMark/>
          </w:tcPr>
          <w:p w14:paraId="7784C99A"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2025</w:t>
            </w:r>
          </w:p>
        </w:tc>
        <w:tc>
          <w:tcPr>
            <w:tcW w:w="875" w:type="pct"/>
            <w:tcBorders>
              <w:top w:val="nil"/>
              <w:left w:val="nil"/>
              <w:bottom w:val="single" w:sz="8" w:space="0" w:color="auto"/>
              <w:right w:val="single" w:sz="8" w:space="0" w:color="auto"/>
            </w:tcBorders>
            <w:shd w:val="clear" w:color="auto" w:fill="auto"/>
            <w:vAlign w:val="center"/>
            <w:hideMark/>
          </w:tcPr>
          <w:p w14:paraId="3C370451"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Informe de inflación 2024–2025</w:t>
            </w:r>
          </w:p>
        </w:tc>
        <w:tc>
          <w:tcPr>
            <w:tcW w:w="866" w:type="pct"/>
            <w:tcBorders>
              <w:top w:val="nil"/>
              <w:left w:val="nil"/>
              <w:bottom w:val="single" w:sz="8" w:space="0" w:color="auto"/>
              <w:right w:val="single" w:sz="8" w:space="0" w:color="auto"/>
            </w:tcBorders>
            <w:shd w:val="clear" w:color="auto" w:fill="auto"/>
            <w:vAlign w:val="center"/>
            <w:hideMark/>
          </w:tcPr>
          <w:p w14:paraId="25AD7C82"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El informe indica que la inflación anual de alimentos disminuyo de 11,8% a 7,2% en 2024, esto refleja una estabilización de los precios de las materias primas y transporte.</w:t>
            </w:r>
          </w:p>
        </w:tc>
        <w:tc>
          <w:tcPr>
            <w:tcW w:w="862" w:type="pct"/>
            <w:tcBorders>
              <w:top w:val="nil"/>
              <w:left w:val="nil"/>
              <w:bottom w:val="single" w:sz="8" w:space="0" w:color="auto"/>
              <w:right w:val="single" w:sz="8" w:space="0" w:color="auto"/>
            </w:tcBorders>
            <w:shd w:val="clear" w:color="auto" w:fill="auto"/>
            <w:vAlign w:val="center"/>
            <w:hideMark/>
          </w:tcPr>
          <w:p w14:paraId="0B8E3BFB"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Este contexto macroeconómico mejora la viabilidad financiera del proyecto, ya que reduce el costo de los insumos, favoreciendo la inversión.</w:t>
            </w:r>
          </w:p>
        </w:tc>
        <w:tc>
          <w:tcPr>
            <w:tcW w:w="1324" w:type="pct"/>
            <w:tcBorders>
              <w:top w:val="nil"/>
              <w:left w:val="nil"/>
              <w:bottom w:val="single" w:sz="8" w:space="0" w:color="auto"/>
              <w:right w:val="single" w:sz="8" w:space="0" w:color="auto"/>
            </w:tcBorders>
            <w:shd w:val="clear" w:color="auto" w:fill="auto"/>
            <w:vAlign w:val="center"/>
            <w:hideMark/>
          </w:tcPr>
          <w:p w14:paraId="6A9FBADD"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Banco de la República. (2025). Informe de inflación. </w:t>
            </w:r>
          </w:p>
        </w:tc>
      </w:tr>
      <w:tr w:rsidR="00121B78" w:rsidRPr="003E3195" w14:paraId="2450264D" w14:textId="77777777" w:rsidTr="00512F21">
        <w:trPr>
          <w:trHeight w:val="3132"/>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383E5490"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FAO</w:t>
            </w:r>
          </w:p>
        </w:tc>
        <w:tc>
          <w:tcPr>
            <w:tcW w:w="354" w:type="pct"/>
            <w:tcBorders>
              <w:top w:val="nil"/>
              <w:left w:val="nil"/>
              <w:bottom w:val="single" w:sz="8" w:space="0" w:color="auto"/>
              <w:right w:val="single" w:sz="8" w:space="0" w:color="auto"/>
            </w:tcBorders>
            <w:shd w:val="clear" w:color="auto" w:fill="auto"/>
            <w:vAlign w:val="center"/>
            <w:hideMark/>
          </w:tcPr>
          <w:p w14:paraId="4A3EF4EC"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2024</w:t>
            </w:r>
          </w:p>
        </w:tc>
        <w:tc>
          <w:tcPr>
            <w:tcW w:w="875" w:type="pct"/>
            <w:tcBorders>
              <w:top w:val="nil"/>
              <w:left w:val="nil"/>
              <w:bottom w:val="single" w:sz="8" w:space="0" w:color="auto"/>
              <w:right w:val="single" w:sz="8" w:space="0" w:color="auto"/>
            </w:tcBorders>
            <w:shd w:val="clear" w:color="auto" w:fill="auto"/>
            <w:vAlign w:val="center"/>
            <w:hideMark/>
          </w:tcPr>
          <w:p w14:paraId="6C46EF0D"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Meat Market Review 2023</w:t>
            </w:r>
          </w:p>
        </w:tc>
        <w:tc>
          <w:tcPr>
            <w:tcW w:w="866" w:type="pct"/>
            <w:tcBorders>
              <w:top w:val="nil"/>
              <w:left w:val="nil"/>
              <w:bottom w:val="single" w:sz="8" w:space="0" w:color="auto"/>
              <w:right w:val="single" w:sz="8" w:space="0" w:color="auto"/>
            </w:tcBorders>
            <w:shd w:val="clear" w:color="auto" w:fill="auto"/>
            <w:vAlign w:val="center"/>
            <w:hideMark/>
          </w:tcPr>
          <w:p w14:paraId="784DC672"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El informe de la FAO muestra que la producción mundial de carne de cerdo alcanzó 123,1 millones de toneladas en 2023, lo que muestra un incremento del 0,7% respecto al año anterior. Se identificaron tendencias hacia la automatización y la eficiencia </w:t>
            </w:r>
            <w:r w:rsidRPr="003E3195">
              <w:rPr>
                <w:color w:val="000000"/>
                <w:sz w:val="24"/>
                <w:szCs w:val="24"/>
                <w:lang w:val="es-CO" w:eastAsia="es-CO"/>
              </w:rPr>
              <w:lastRenderedPageBreak/>
              <w:t>energética en plantas procesadoras, así como el uso de tecnologías de control de calidad en tiempo real.</w:t>
            </w:r>
          </w:p>
        </w:tc>
        <w:tc>
          <w:tcPr>
            <w:tcW w:w="862" w:type="pct"/>
            <w:tcBorders>
              <w:top w:val="nil"/>
              <w:left w:val="nil"/>
              <w:bottom w:val="single" w:sz="8" w:space="0" w:color="auto"/>
              <w:right w:val="single" w:sz="8" w:space="0" w:color="auto"/>
            </w:tcBorders>
            <w:shd w:val="clear" w:color="auto" w:fill="auto"/>
            <w:vAlign w:val="center"/>
            <w:hideMark/>
          </w:tcPr>
          <w:p w14:paraId="5AC30603"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 xml:space="preserve">La información obtenida, refuerza la importancia de incorporar tecnologías limpias y automatizadas en la Planta de Beneficio del Oriente, aumentando la eficiencia operativa, minimizando los desperdicios y mejorando así la competitividad frente a los estándares </w:t>
            </w:r>
            <w:r w:rsidRPr="003E3195">
              <w:rPr>
                <w:color w:val="000000"/>
                <w:sz w:val="24"/>
                <w:szCs w:val="24"/>
                <w:lang w:val="es-CO" w:eastAsia="es-CO"/>
              </w:rPr>
              <w:lastRenderedPageBreak/>
              <w:t>internacionales.</w:t>
            </w:r>
          </w:p>
        </w:tc>
        <w:tc>
          <w:tcPr>
            <w:tcW w:w="1324" w:type="pct"/>
            <w:tcBorders>
              <w:top w:val="nil"/>
              <w:left w:val="nil"/>
              <w:bottom w:val="single" w:sz="8" w:space="0" w:color="auto"/>
              <w:right w:val="single" w:sz="8" w:space="0" w:color="auto"/>
            </w:tcBorders>
            <w:shd w:val="clear" w:color="auto" w:fill="auto"/>
            <w:vAlign w:val="center"/>
            <w:hideMark/>
          </w:tcPr>
          <w:p w14:paraId="06CA9203"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 xml:space="preserve">FAO. (2024). Meat Market Review. </w:t>
            </w:r>
          </w:p>
        </w:tc>
      </w:tr>
      <w:tr w:rsidR="00121B78" w:rsidRPr="003E3195" w14:paraId="69A03DC7" w14:textId="77777777" w:rsidTr="00512F21">
        <w:trPr>
          <w:trHeight w:val="2508"/>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31DA2E11"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ICA</w:t>
            </w:r>
          </w:p>
        </w:tc>
        <w:tc>
          <w:tcPr>
            <w:tcW w:w="354" w:type="pct"/>
            <w:tcBorders>
              <w:top w:val="nil"/>
              <w:left w:val="nil"/>
              <w:bottom w:val="single" w:sz="8" w:space="0" w:color="auto"/>
              <w:right w:val="single" w:sz="8" w:space="0" w:color="auto"/>
            </w:tcBorders>
            <w:shd w:val="clear" w:color="auto" w:fill="auto"/>
            <w:vAlign w:val="center"/>
            <w:hideMark/>
          </w:tcPr>
          <w:p w14:paraId="1A2610B4"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2025</w:t>
            </w:r>
          </w:p>
        </w:tc>
        <w:tc>
          <w:tcPr>
            <w:tcW w:w="875" w:type="pct"/>
            <w:tcBorders>
              <w:top w:val="nil"/>
              <w:left w:val="nil"/>
              <w:bottom w:val="single" w:sz="8" w:space="0" w:color="auto"/>
              <w:right w:val="single" w:sz="8" w:space="0" w:color="auto"/>
            </w:tcBorders>
            <w:shd w:val="clear" w:color="auto" w:fill="auto"/>
            <w:vAlign w:val="center"/>
            <w:hideMark/>
          </w:tcPr>
          <w:p w14:paraId="415B8AA7"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Colombia libre de Peste Porcina Clásica</w:t>
            </w:r>
          </w:p>
        </w:tc>
        <w:tc>
          <w:tcPr>
            <w:tcW w:w="866" w:type="pct"/>
            <w:tcBorders>
              <w:top w:val="nil"/>
              <w:left w:val="nil"/>
              <w:bottom w:val="single" w:sz="8" w:space="0" w:color="auto"/>
              <w:right w:val="single" w:sz="8" w:space="0" w:color="auto"/>
            </w:tcBorders>
            <w:shd w:val="clear" w:color="auto" w:fill="auto"/>
            <w:vAlign w:val="center"/>
            <w:hideMark/>
          </w:tcPr>
          <w:p w14:paraId="6FE30A86"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El ICA ratifica que Colombia conserva el estatus sanitario de país libre de Peste Porcina Clásica, gracias al sistema de vigilancia activa y controles epidemiológicos en las zonas productoras del país. Este estatus favorece el acceso a los mercados internacionales y refuerza la reputación del país.</w:t>
            </w:r>
          </w:p>
        </w:tc>
        <w:tc>
          <w:tcPr>
            <w:tcW w:w="862" w:type="pct"/>
            <w:tcBorders>
              <w:top w:val="nil"/>
              <w:left w:val="nil"/>
              <w:bottom w:val="single" w:sz="8" w:space="0" w:color="auto"/>
              <w:right w:val="single" w:sz="8" w:space="0" w:color="auto"/>
            </w:tcBorders>
            <w:shd w:val="clear" w:color="auto" w:fill="auto"/>
            <w:vAlign w:val="center"/>
            <w:hideMark/>
          </w:tcPr>
          <w:p w14:paraId="7417990F"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La certificación sanitaria del país beneficia la viabilidad del proyecto, ya que una planta de beneficio en Santander operando bajo los controles sanitarios adecuados, puede aprovechar el estatus para consolidar su posición en mercados institucionales.</w:t>
            </w:r>
          </w:p>
        </w:tc>
        <w:tc>
          <w:tcPr>
            <w:tcW w:w="1324" w:type="pct"/>
            <w:tcBorders>
              <w:top w:val="nil"/>
              <w:left w:val="nil"/>
              <w:bottom w:val="single" w:sz="8" w:space="0" w:color="auto"/>
              <w:right w:val="single" w:sz="8" w:space="0" w:color="auto"/>
            </w:tcBorders>
            <w:shd w:val="clear" w:color="auto" w:fill="auto"/>
            <w:vAlign w:val="center"/>
            <w:hideMark/>
          </w:tcPr>
          <w:p w14:paraId="4857C152"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ICA. (2025). Colombia libre de PPC. </w:t>
            </w:r>
          </w:p>
        </w:tc>
      </w:tr>
      <w:tr w:rsidR="00121B78" w:rsidRPr="003E3195" w14:paraId="5B79E86D" w14:textId="77777777" w:rsidTr="00512F21">
        <w:trPr>
          <w:trHeight w:val="2196"/>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436EF713"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INVIMA – Portal de Carne</w:t>
            </w:r>
          </w:p>
        </w:tc>
        <w:tc>
          <w:tcPr>
            <w:tcW w:w="354" w:type="pct"/>
            <w:tcBorders>
              <w:top w:val="nil"/>
              <w:left w:val="nil"/>
              <w:bottom w:val="single" w:sz="8" w:space="0" w:color="auto"/>
              <w:right w:val="single" w:sz="8" w:space="0" w:color="auto"/>
            </w:tcBorders>
            <w:shd w:val="clear" w:color="auto" w:fill="auto"/>
            <w:vAlign w:val="center"/>
            <w:hideMark/>
          </w:tcPr>
          <w:p w14:paraId="13097071"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2025</w:t>
            </w:r>
          </w:p>
        </w:tc>
        <w:tc>
          <w:tcPr>
            <w:tcW w:w="875" w:type="pct"/>
            <w:tcBorders>
              <w:top w:val="nil"/>
              <w:left w:val="nil"/>
              <w:bottom w:val="single" w:sz="8" w:space="0" w:color="auto"/>
              <w:right w:val="single" w:sz="8" w:space="0" w:color="auto"/>
            </w:tcBorders>
            <w:shd w:val="clear" w:color="auto" w:fill="auto"/>
            <w:vAlign w:val="center"/>
            <w:hideMark/>
          </w:tcPr>
          <w:p w14:paraId="6C2B5F0A"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Carne – Alimentos y bebidas alcohólicas (listados y requisitos)</w:t>
            </w:r>
          </w:p>
        </w:tc>
        <w:tc>
          <w:tcPr>
            <w:tcW w:w="866" w:type="pct"/>
            <w:tcBorders>
              <w:top w:val="nil"/>
              <w:left w:val="nil"/>
              <w:bottom w:val="single" w:sz="8" w:space="0" w:color="auto"/>
              <w:right w:val="single" w:sz="8" w:space="0" w:color="auto"/>
            </w:tcBorders>
            <w:shd w:val="clear" w:color="auto" w:fill="auto"/>
            <w:vAlign w:val="center"/>
            <w:hideMark/>
          </w:tcPr>
          <w:p w14:paraId="56E9E11E"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Esta recopilación del INVIMA reúne los requisitos vigentes para el funcionamient</w:t>
            </w:r>
            <w:r w:rsidRPr="003E3195">
              <w:rPr>
                <w:color w:val="000000"/>
                <w:sz w:val="24"/>
                <w:szCs w:val="24"/>
                <w:lang w:val="es-CO" w:eastAsia="es-CO"/>
              </w:rPr>
              <w:lastRenderedPageBreak/>
              <w:t xml:space="preserve">o de plantas de beneficio animal, estableciendo los requerimientos de infraestructura, almacenamiento, transporte y etiquetado de productos cárnicos. </w:t>
            </w:r>
          </w:p>
        </w:tc>
        <w:tc>
          <w:tcPr>
            <w:tcW w:w="862" w:type="pct"/>
            <w:tcBorders>
              <w:top w:val="nil"/>
              <w:left w:val="nil"/>
              <w:bottom w:val="single" w:sz="8" w:space="0" w:color="auto"/>
              <w:right w:val="single" w:sz="8" w:space="0" w:color="auto"/>
            </w:tcBorders>
            <w:shd w:val="clear" w:color="auto" w:fill="auto"/>
            <w:vAlign w:val="center"/>
            <w:hideMark/>
          </w:tcPr>
          <w:p w14:paraId="656E17AF"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 xml:space="preserve">Este documento es una guía de referencia para el diseño y la gestión de la Planta de Beneficio </w:t>
            </w:r>
            <w:r w:rsidRPr="003E3195">
              <w:rPr>
                <w:color w:val="000000"/>
                <w:sz w:val="24"/>
                <w:szCs w:val="24"/>
                <w:lang w:val="es-CO" w:eastAsia="es-CO"/>
              </w:rPr>
              <w:lastRenderedPageBreak/>
              <w:t>del Oriente, garantizando el cumplimiento de los parámetros oficiales y se obtenga la certificación INVIMA.</w:t>
            </w:r>
          </w:p>
        </w:tc>
        <w:tc>
          <w:tcPr>
            <w:tcW w:w="1324" w:type="pct"/>
            <w:tcBorders>
              <w:top w:val="nil"/>
              <w:left w:val="nil"/>
              <w:bottom w:val="single" w:sz="8" w:space="0" w:color="auto"/>
              <w:right w:val="single" w:sz="8" w:space="0" w:color="auto"/>
            </w:tcBorders>
            <w:shd w:val="clear" w:color="auto" w:fill="auto"/>
            <w:vAlign w:val="center"/>
            <w:hideMark/>
          </w:tcPr>
          <w:p w14:paraId="4B8F81F8"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 xml:space="preserve">INVIMA. (2025). Portal de Carne. </w:t>
            </w:r>
          </w:p>
        </w:tc>
      </w:tr>
      <w:tr w:rsidR="00121B78" w:rsidRPr="003E3195" w14:paraId="0E9CA591" w14:textId="77777777" w:rsidTr="00512F21">
        <w:trPr>
          <w:trHeight w:val="2508"/>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6ED67590"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DANE – ESAG</w:t>
            </w:r>
          </w:p>
        </w:tc>
        <w:tc>
          <w:tcPr>
            <w:tcW w:w="354" w:type="pct"/>
            <w:tcBorders>
              <w:top w:val="nil"/>
              <w:left w:val="nil"/>
              <w:bottom w:val="single" w:sz="8" w:space="0" w:color="auto"/>
              <w:right w:val="single" w:sz="8" w:space="0" w:color="auto"/>
            </w:tcBorders>
            <w:shd w:val="clear" w:color="auto" w:fill="auto"/>
            <w:vAlign w:val="center"/>
            <w:hideMark/>
          </w:tcPr>
          <w:p w14:paraId="3468F898"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2025</w:t>
            </w:r>
          </w:p>
        </w:tc>
        <w:tc>
          <w:tcPr>
            <w:tcW w:w="875" w:type="pct"/>
            <w:tcBorders>
              <w:top w:val="nil"/>
              <w:left w:val="nil"/>
              <w:bottom w:val="single" w:sz="8" w:space="0" w:color="auto"/>
              <w:right w:val="single" w:sz="8" w:space="0" w:color="auto"/>
            </w:tcBorders>
            <w:shd w:val="clear" w:color="auto" w:fill="auto"/>
            <w:vAlign w:val="center"/>
            <w:hideMark/>
          </w:tcPr>
          <w:p w14:paraId="3A15AC9F"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Encuesta de Sacrificio de Ganado – Históricos</w:t>
            </w:r>
          </w:p>
        </w:tc>
        <w:tc>
          <w:tcPr>
            <w:tcW w:w="866" w:type="pct"/>
            <w:tcBorders>
              <w:top w:val="nil"/>
              <w:left w:val="nil"/>
              <w:bottom w:val="single" w:sz="8" w:space="0" w:color="auto"/>
              <w:right w:val="single" w:sz="8" w:space="0" w:color="auto"/>
            </w:tcBorders>
            <w:shd w:val="clear" w:color="auto" w:fill="auto"/>
            <w:vAlign w:val="center"/>
            <w:hideMark/>
          </w:tcPr>
          <w:p w14:paraId="6C8C1B96"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La serie estadística del DANE muestra que el sacrificio formal de cerdos en Colombia pasó de 5,1 millones de cabezas en 2019 a 6,2 millones en el 2024, lo que muestra un aumento del 21% en 5 años. Sin embargo, la mayor concentración de la actividad se encuentra en Antioquia (39%) y Valle del Cauca (17%).</w:t>
            </w:r>
          </w:p>
        </w:tc>
        <w:tc>
          <w:tcPr>
            <w:tcW w:w="862" w:type="pct"/>
            <w:tcBorders>
              <w:top w:val="nil"/>
              <w:left w:val="nil"/>
              <w:bottom w:val="single" w:sz="8" w:space="0" w:color="auto"/>
              <w:right w:val="single" w:sz="8" w:space="0" w:color="auto"/>
            </w:tcBorders>
            <w:shd w:val="clear" w:color="auto" w:fill="auto"/>
            <w:vAlign w:val="center"/>
            <w:hideMark/>
          </w:tcPr>
          <w:p w14:paraId="560B42CD"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Los datos muestran el desequilibrio geográfico en el desarrollo de la industria porcina. La planta proyectada en el departamento de Santander permitirá redistribuir la capacidad nacional, descentralizando la producción y fortaleciendo el mercado regional.</w:t>
            </w:r>
          </w:p>
        </w:tc>
        <w:tc>
          <w:tcPr>
            <w:tcW w:w="1324" w:type="pct"/>
            <w:tcBorders>
              <w:top w:val="nil"/>
              <w:left w:val="nil"/>
              <w:bottom w:val="single" w:sz="8" w:space="0" w:color="auto"/>
              <w:right w:val="single" w:sz="8" w:space="0" w:color="auto"/>
            </w:tcBorders>
            <w:shd w:val="clear" w:color="auto" w:fill="auto"/>
            <w:vAlign w:val="center"/>
            <w:hideMark/>
          </w:tcPr>
          <w:p w14:paraId="090E8F50"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DANE. (2025). ESAG – históricos. </w:t>
            </w:r>
          </w:p>
        </w:tc>
      </w:tr>
      <w:tr w:rsidR="00121B78" w:rsidRPr="00D55948" w14:paraId="2CEB4A86" w14:textId="77777777" w:rsidTr="00512F21">
        <w:trPr>
          <w:trHeight w:val="2508"/>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2A885351"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ITC – TradeMap</w:t>
            </w:r>
          </w:p>
        </w:tc>
        <w:tc>
          <w:tcPr>
            <w:tcW w:w="354" w:type="pct"/>
            <w:tcBorders>
              <w:top w:val="nil"/>
              <w:left w:val="nil"/>
              <w:bottom w:val="single" w:sz="8" w:space="0" w:color="auto"/>
              <w:right w:val="single" w:sz="8" w:space="0" w:color="auto"/>
            </w:tcBorders>
            <w:shd w:val="clear" w:color="auto" w:fill="auto"/>
            <w:vAlign w:val="center"/>
            <w:hideMark/>
          </w:tcPr>
          <w:p w14:paraId="4AF10146"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2025</w:t>
            </w:r>
          </w:p>
        </w:tc>
        <w:tc>
          <w:tcPr>
            <w:tcW w:w="875" w:type="pct"/>
            <w:tcBorders>
              <w:top w:val="nil"/>
              <w:left w:val="nil"/>
              <w:bottom w:val="single" w:sz="8" w:space="0" w:color="auto"/>
              <w:right w:val="single" w:sz="8" w:space="0" w:color="auto"/>
            </w:tcBorders>
            <w:shd w:val="clear" w:color="auto" w:fill="auto"/>
            <w:vAlign w:val="center"/>
            <w:hideMark/>
          </w:tcPr>
          <w:p w14:paraId="1ACAB2C6"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HS 0203 – orígenes importados de carne porcina hacia Colombia</w:t>
            </w:r>
          </w:p>
        </w:tc>
        <w:tc>
          <w:tcPr>
            <w:tcW w:w="866" w:type="pct"/>
            <w:tcBorders>
              <w:top w:val="nil"/>
              <w:left w:val="nil"/>
              <w:bottom w:val="single" w:sz="8" w:space="0" w:color="auto"/>
              <w:right w:val="single" w:sz="8" w:space="0" w:color="auto"/>
            </w:tcBorders>
            <w:shd w:val="clear" w:color="auto" w:fill="auto"/>
            <w:vAlign w:val="center"/>
            <w:hideMark/>
          </w:tcPr>
          <w:p w14:paraId="6D390F53"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El ITC muestra que, en 2024, el 87% de la carne porcina importada tiene origen en Estados Unidos, Canadá y Chile, con un costo promedio de USD 2.150 por tonelada. La alta competitividad de las industrias de estos países afecta los márgenes del productor nacional y limita la expansión de la industria local.</w:t>
            </w:r>
          </w:p>
        </w:tc>
        <w:tc>
          <w:tcPr>
            <w:tcW w:w="862" w:type="pct"/>
            <w:tcBorders>
              <w:top w:val="nil"/>
              <w:left w:val="nil"/>
              <w:bottom w:val="single" w:sz="8" w:space="0" w:color="auto"/>
              <w:right w:val="single" w:sz="8" w:space="0" w:color="auto"/>
            </w:tcBorders>
            <w:shd w:val="clear" w:color="auto" w:fill="auto"/>
            <w:vAlign w:val="center"/>
            <w:hideMark/>
          </w:tcPr>
          <w:p w14:paraId="410DC23D"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La información, destaca la importancia de mejorar la eficiencia en la cadena de valor. La planta en el departamento, permitiría reducir los costos logísticos al promover el sacrificio local, lo que permitiría mejorar los márgenes de rentabilidad y las ofertas de carne nacional a precios competitivos.</w:t>
            </w:r>
          </w:p>
        </w:tc>
        <w:tc>
          <w:tcPr>
            <w:tcW w:w="1324" w:type="pct"/>
            <w:tcBorders>
              <w:top w:val="nil"/>
              <w:left w:val="nil"/>
              <w:bottom w:val="single" w:sz="8" w:space="0" w:color="auto"/>
              <w:right w:val="single" w:sz="8" w:space="0" w:color="auto"/>
            </w:tcBorders>
            <w:shd w:val="clear" w:color="auto" w:fill="auto"/>
            <w:vAlign w:val="center"/>
            <w:hideMark/>
          </w:tcPr>
          <w:p w14:paraId="47E164F8" w14:textId="77777777" w:rsidR="00121B78" w:rsidRPr="006304F7" w:rsidRDefault="00121B78" w:rsidP="00512F21">
            <w:pPr>
              <w:widowControl/>
              <w:autoSpaceDE/>
              <w:autoSpaceDN/>
              <w:rPr>
                <w:color w:val="000000"/>
                <w:sz w:val="24"/>
                <w:szCs w:val="24"/>
                <w:lang w:val="en-US" w:eastAsia="es-CO"/>
              </w:rPr>
            </w:pPr>
            <w:r w:rsidRPr="006304F7">
              <w:rPr>
                <w:color w:val="000000"/>
                <w:sz w:val="24"/>
                <w:szCs w:val="24"/>
                <w:lang w:val="en-US" w:eastAsia="es-CO"/>
              </w:rPr>
              <w:t xml:space="preserve">International Trade Centre (ITC). (2025). Trade Map. </w:t>
            </w:r>
          </w:p>
        </w:tc>
      </w:tr>
      <w:tr w:rsidR="00121B78" w:rsidRPr="003E3195" w14:paraId="6BEB3BC6" w14:textId="77777777" w:rsidTr="00512F21">
        <w:trPr>
          <w:trHeight w:val="2508"/>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5996B4A5"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Porkcolombia – Economía Porcícola</w:t>
            </w:r>
          </w:p>
        </w:tc>
        <w:tc>
          <w:tcPr>
            <w:tcW w:w="354" w:type="pct"/>
            <w:tcBorders>
              <w:top w:val="nil"/>
              <w:left w:val="nil"/>
              <w:bottom w:val="single" w:sz="8" w:space="0" w:color="auto"/>
              <w:right w:val="single" w:sz="8" w:space="0" w:color="auto"/>
            </w:tcBorders>
            <w:shd w:val="clear" w:color="auto" w:fill="auto"/>
            <w:vAlign w:val="center"/>
            <w:hideMark/>
          </w:tcPr>
          <w:p w14:paraId="059D001A"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2025</w:t>
            </w:r>
          </w:p>
        </w:tc>
        <w:tc>
          <w:tcPr>
            <w:tcW w:w="875" w:type="pct"/>
            <w:tcBorders>
              <w:top w:val="nil"/>
              <w:left w:val="nil"/>
              <w:bottom w:val="single" w:sz="8" w:space="0" w:color="auto"/>
              <w:right w:val="single" w:sz="8" w:space="0" w:color="auto"/>
            </w:tcBorders>
            <w:shd w:val="clear" w:color="auto" w:fill="auto"/>
            <w:vAlign w:val="center"/>
            <w:hideMark/>
          </w:tcPr>
          <w:p w14:paraId="731996F8"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Boletín Economía Porcícola (27 de enero de 2025)</w:t>
            </w:r>
          </w:p>
        </w:tc>
        <w:tc>
          <w:tcPr>
            <w:tcW w:w="866" w:type="pct"/>
            <w:tcBorders>
              <w:top w:val="nil"/>
              <w:left w:val="nil"/>
              <w:bottom w:val="single" w:sz="8" w:space="0" w:color="auto"/>
              <w:right w:val="single" w:sz="8" w:space="0" w:color="auto"/>
            </w:tcBorders>
            <w:shd w:val="clear" w:color="auto" w:fill="auto"/>
            <w:vAlign w:val="center"/>
            <w:hideMark/>
          </w:tcPr>
          <w:p w14:paraId="37C1AAC5"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El boletín económico informa que las importaciones de carne porcina aumentaron un 22% entre enero y noviembre del 2024, debido a la reactivación del consumo. Sin embargo, también la producción </w:t>
            </w:r>
            <w:r w:rsidRPr="003E3195">
              <w:rPr>
                <w:color w:val="000000"/>
                <w:sz w:val="24"/>
                <w:szCs w:val="24"/>
                <w:lang w:val="es-CO" w:eastAsia="es-CO"/>
              </w:rPr>
              <w:lastRenderedPageBreak/>
              <w:t>nacional aumento el 7,8%, lo que indica una respuesta positiva del sector local.</w:t>
            </w:r>
          </w:p>
        </w:tc>
        <w:tc>
          <w:tcPr>
            <w:tcW w:w="862" w:type="pct"/>
            <w:tcBorders>
              <w:top w:val="nil"/>
              <w:left w:val="nil"/>
              <w:bottom w:val="single" w:sz="8" w:space="0" w:color="auto"/>
              <w:right w:val="single" w:sz="8" w:space="0" w:color="auto"/>
            </w:tcBorders>
            <w:shd w:val="clear" w:color="auto" w:fill="auto"/>
            <w:vAlign w:val="center"/>
            <w:hideMark/>
          </w:tcPr>
          <w:p w14:paraId="1BC11904"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 xml:space="preserve">Este comportamiento del sector, muestra la capacidad de adaptación del mismo, pero también la necesidad de mejorar la infraestructura nacional para recuperar el equilibrio oferta demanda. La planta contribuiría a </w:t>
            </w:r>
            <w:r w:rsidRPr="003E3195">
              <w:rPr>
                <w:color w:val="000000"/>
                <w:sz w:val="24"/>
                <w:szCs w:val="24"/>
                <w:lang w:val="es-CO" w:eastAsia="es-CO"/>
              </w:rPr>
              <w:lastRenderedPageBreak/>
              <w:t>suplir ese déficit en el departamento de Santander.</w:t>
            </w:r>
          </w:p>
        </w:tc>
        <w:tc>
          <w:tcPr>
            <w:tcW w:w="1324" w:type="pct"/>
            <w:tcBorders>
              <w:top w:val="nil"/>
              <w:left w:val="nil"/>
              <w:bottom w:val="single" w:sz="8" w:space="0" w:color="auto"/>
              <w:right w:val="single" w:sz="8" w:space="0" w:color="auto"/>
            </w:tcBorders>
            <w:shd w:val="clear" w:color="auto" w:fill="auto"/>
            <w:vAlign w:val="center"/>
            <w:hideMark/>
          </w:tcPr>
          <w:p w14:paraId="59E972F0"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 xml:space="preserve">Porkcolombia. (2025, ene. 27). Boletín Economía Porcícola. </w:t>
            </w:r>
          </w:p>
        </w:tc>
      </w:tr>
      <w:tr w:rsidR="00121B78" w:rsidRPr="003E3195" w14:paraId="5C8FEF36" w14:textId="77777777" w:rsidTr="00512F21">
        <w:trPr>
          <w:trHeight w:val="2508"/>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3A610BEC"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Porkcolombia – Indicadores</w:t>
            </w:r>
          </w:p>
        </w:tc>
        <w:tc>
          <w:tcPr>
            <w:tcW w:w="354" w:type="pct"/>
            <w:tcBorders>
              <w:top w:val="nil"/>
              <w:left w:val="nil"/>
              <w:bottom w:val="single" w:sz="8" w:space="0" w:color="auto"/>
              <w:right w:val="single" w:sz="8" w:space="0" w:color="auto"/>
            </w:tcBorders>
            <w:shd w:val="clear" w:color="auto" w:fill="auto"/>
            <w:vAlign w:val="center"/>
            <w:hideMark/>
          </w:tcPr>
          <w:p w14:paraId="38133347"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2025</w:t>
            </w:r>
          </w:p>
        </w:tc>
        <w:tc>
          <w:tcPr>
            <w:tcW w:w="875" w:type="pct"/>
            <w:tcBorders>
              <w:top w:val="nil"/>
              <w:left w:val="nil"/>
              <w:bottom w:val="single" w:sz="8" w:space="0" w:color="auto"/>
              <w:right w:val="single" w:sz="8" w:space="0" w:color="auto"/>
            </w:tcBorders>
            <w:shd w:val="clear" w:color="auto" w:fill="auto"/>
            <w:vAlign w:val="center"/>
            <w:hideMark/>
          </w:tcPr>
          <w:p w14:paraId="53A2FCC3"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Indicadores Porcicultura 2024</w:t>
            </w:r>
          </w:p>
        </w:tc>
        <w:tc>
          <w:tcPr>
            <w:tcW w:w="866" w:type="pct"/>
            <w:tcBorders>
              <w:top w:val="nil"/>
              <w:left w:val="nil"/>
              <w:bottom w:val="single" w:sz="8" w:space="0" w:color="auto"/>
              <w:right w:val="single" w:sz="8" w:space="0" w:color="auto"/>
            </w:tcBorders>
            <w:shd w:val="clear" w:color="auto" w:fill="auto"/>
            <w:vAlign w:val="center"/>
            <w:hideMark/>
          </w:tcPr>
          <w:p w14:paraId="2EC7BA1B"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El informe detalla que las grandes superficies y el canal institucional concentran el 70% de la comercialización de la carne Porcicola en Colombia, lo que otorga a los clientes un alto poder de negociación sobre los proveedores. Adicionalmente, la exigencia de certificaciones se ha incrementado.</w:t>
            </w:r>
          </w:p>
        </w:tc>
        <w:tc>
          <w:tcPr>
            <w:tcW w:w="862" w:type="pct"/>
            <w:tcBorders>
              <w:top w:val="nil"/>
              <w:left w:val="nil"/>
              <w:bottom w:val="single" w:sz="8" w:space="0" w:color="auto"/>
              <w:right w:val="single" w:sz="8" w:space="0" w:color="auto"/>
            </w:tcBorders>
            <w:shd w:val="clear" w:color="auto" w:fill="auto"/>
            <w:vAlign w:val="center"/>
            <w:hideMark/>
          </w:tcPr>
          <w:p w14:paraId="3F3B5B8D"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Esta información muestra la importancia que el proyecto debe operar cumpliendo estándares sanitarios y logísticos para competir en el mercado institucional, garantizando la trazabilidad y el cumplimiento de las normas HACCP.</w:t>
            </w:r>
          </w:p>
        </w:tc>
        <w:tc>
          <w:tcPr>
            <w:tcW w:w="1324" w:type="pct"/>
            <w:tcBorders>
              <w:top w:val="nil"/>
              <w:left w:val="nil"/>
              <w:bottom w:val="single" w:sz="8" w:space="0" w:color="auto"/>
              <w:right w:val="single" w:sz="8" w:space="0" w:color="auto"/>
            </w:tcBorders>
            <w:shd w:val="clear" w:color="auto" w:fill="auto"/>
            <w:vAlign w:val="center"/>
            <w:hideMark/>
          </w:tcPr>
          <w:p w14:paraId="6333FD79"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Porkcolombia – FNP. (2025). Indicadores Porcicultura 2024.</w:t>
            </w:r>
          </w:p>
        </w:tc>
      </w:tr>
      <w:tr w:rsidR="00121B78" w:rsidRPr="003E3195" w14:paraId="09689E3D" w14:textId="77777777" w:rsidTr="00512F21">
        <w:trPr>
          <w:trHeight w:val="2196"/>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18D8C5CF"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DANE – ESAG</w:t>
            </w:r>
          </w:p>
        </w:tc>
        <w:tc>
          <w:tcPr>
            <w:tcW w:w="354" w:type="pct"/>
            <w:tcBorders>
              <w:top w:val="nil"/>
              <w:left w:val="nil"/>
              <w:bottom w:val="single" w:sz="8" w:space="0" w:color="auto"/>
              <w:right w:val="single" w:sz="8" w:space="0" w:color="auto"/>
            </w:tcBorders>
            <w:shd w:val="clear" w:color="auto" w:fill="auto"/>
            <w:vAlign w:val="center"/>
            <w:hideMark/>
          </w:tcPr>
          <w:p w14:paraId="4F294BD9"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2025</w:t>
            </w:r>
          </w:p>
        </w:tc>
        <w:tc>
          <w:tcPr>
            <w:tcW w:w="875" w:type="pct"/>
            <w:tcBorders>
              <w:top w:val="nil"/>
              <w:left w:val="nil"/>
              <w:bottom w:val="single" w:sz="8" w:space="0" w:color="auto"/>
              <w:right w:val="single" w:sz="8" w:space="0" w:color="auto"/>
            </w:tcBorders>
            <w:shd w:val="clear" w:color="auto" w:fill="auto"/>
            <w:vAlign w:val="center"/>
            <w:hideMark/>
          </w:tcPr>
          <w:p w14:paraId="7E4F9FC4"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ESAG y sacrificio formal</w:t>
            </w:r>
          </w:p>
        </w:tc>
        <w:tc>
          <w:tcPr>
            <w:tcW w:w="866" w:type="pct"/>
            <w:tcBorders>
              <w:top w:val="nil"/>
              <w:left w:val="nil"/>
              <w:bottom w:val="single" w:sz="8" w:space="0" w:color="auto"/>
              <w:right w:val="single" w:sz="8" w:space="0" w:color="auto"/>
            </w:tcBorders>
            <w:shd w:val="clear" w:color="auto" w:fill="auto"/>
            <w:vAlign w:val="center"/>
            <w:hideMark/>
          </w:tcPr>
          <w:p w14:paraId="4FB11D89"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Según las cifras del DANE, el 56% del sacrifico nacional de cerdos se concentra en 4 departamentos (Antioquia, Valle del </w:t>
            </w:r>
            <w:r w:rsidRPr="003E3195">
              <w:rPr>
                <w:color w:val="000000"/>
                <w:sz w:val="24"/>
                <w:szCs w:val="24"/>
                <w:lang w:val="es-CO" w:eastAsia="es-CO"/>
              </w:rPr>
              <w:lastRenderedPageBreak/>
              <w:t>Cauca, Cundinamarca y Atlántico). En contraste, el departamento de Santander no cuenta con planta de sacrificio desde el 2020.</w:t>
            </w:r>
          </w:p>
        </w:tc>
        <w:tc>
          <w:tcPr>
            <w:tcW w:w="862" w:type="pct"/>
            <w:tcBorders>
              <w:top w:val="nil"/>
              <w:left w:val="nil"/>
              <w:bottom w:val="single" w:sz="8" w:space="0" w:color="auto"/>
              <w:right w:val="single" w:sz="8" w:space="0" w:color="auto"/>
            </w:tcBorders>
            <w:shd w:val="clear" w:color="auto" w:fill="auto"/>
            <w:vAlign w:val="center"/>
            <w:hideMark/>
          </w:tcPr>
          <w:p w14:paraId="58C6EA02"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 xml:space="preserve">Esta información deja en evidencia el vacío productivo que hay en la región. La creación de la planta permitirá cubrir la </w:t>
            </w:r>
            <w:r w:rsidRPr="003E3195">
              <w:rPr>
                <w:color w:val="000000"/>
                <w:sz w:val="24"/>
                <w:szCs w:val="24"/>
                <w:lang w:val="es-CO" w:eastAsia="es-CO"/>
              </w:rPr>
              <w:lastRenderedPageBreak/>
              <w:t>demandada insatisfecha, reducir los costos de transporte, e incentivar el sacrificio porcino legal.</w:t>
            </w:r>
          </w:p>
        </w:tc>
        <w:tc>
          <w:tcPr>
            <w:tcW w:w="1324" w:type="pct"/>
            <w:tcBorders>
              <w:top w:val="nil"/>
              <w:left w:val="nil"/>
              <w:bottom w:val="single" w:sz="8" w:space="0" w:color="auto"/>
              <w:right w:val="single" w:sz="8" w:space="0" w:color="auto"/>
            </w:tcBorders>
            <w:shd w:val="clear" w:color="auto" w:fill="auto"/>
            <w:vAlign w:val="center"/>
            <w:hideMark/>
          </w:tcPr>
          <w:p w14:paraId="620C3560"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 xml:space="preserve">DANE. (2025). ESAG. </w:t>
            </w:r>
          </w:p>
        </w:tc>
      </w:tr>
      <w:tr w:rsidR="00121B78" w:rsidRPr="00D55948" w14:paraId="37A788F0" w14:textId="77777777" w:rsidTr="00512F21">
        <w:trPr>
          <w:trHeight w:val="2196"/>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0D8B2F07"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FAO – Good Practices</w:t>
            </w:r>
          </w:p>
        </w:tc>
        <w:tc>
          <w:tcPr>
            <w:tcW w:w="354" w:type="pct"/>
            <w:tcBorders>
              <w:top w:val="nil"/>
              <w:left w:val="nil"/>
              <w:bottom w:val="single" w:sz="8" w:space="0" w:color="auto"/>
              <w:right w:val="single" w:sz="8" w:space="0" w:color="auto"/>
            </w:tcBorders>
            <w:shd w:val="clear" w:color="auto" w:fill="auto"/>
            <w:vAlign w:val="center"/>
            <w:hideMark/>
          </w:tcPr>
          <w:p w14:paraId="2F97E11B"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2008</w:t>
            </w:r>
          </w:p>
        </w:tc>
        <w:tc>
          <w:tcPr>
            <w:tcW w:w="875" w:type="pct"/>
            <w:tcBorders>
              <w:top w:val="nil"/>
              <w:left w:val="nil"/>
              <w:bottom w:val="single" w:sz="8" w:space="0" w:color="auto"/>
              <w:right w:val="single" w:sz="8" w:space="0" w:color="auto"/>
            </w:tcBorders>
            <w:shd w:val="clear" w:color="auto" w:fill="auto"/>
            <w:vAlign w:val="center"/>
            <w:hideMark/>
          </w:tcPr>
          <w:p w14:paraId="70A3A02C"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Buenas prácticas en industrias cárnicas</w:t>
            </w:r>
          </w:p>
        </w:tc>
        <w:tc>
          <w:tcPr>
            <w:tcW w:w="866" w:type="pct"/>
            <w:tcBorders>
              <w:top w:val="nil"/>
              <w:left w:val="nil"/>
              <w:bottom w:val="single" w:sz="8" w:space="0" w:color="auto"/>
              <w:right w:val="single" w:sz="8" w:space="0" w:color="auto"/>
            </w:tcBorders>
            <w:shd w:val="clear" w:color="auto" w:fill="auto"/>
            <w:vAlign w:val="center"/>
            <w:hideMark/>
          </w:tcPr>
          <w:p w14:paraId="5044B03E"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El documento detalla que la implementación de los sistemas de inocuidad (HACCP, BPM, POES) puede ayudar a aumentar la productividad hasta un 15% y disminuir las enfermedades transmitidas por los alimentos hasta un 40%</w:t>
            </w:r>
          </w:p>
        </w:tc>
        <w:tc>
          <w:tcPr>
            <w:tcW w:w="862" w:type="pct"/>
            <w:tcBorders>
              <w:top w:val="nil"/>
              <w:left w:val="nil"/>
              <w:bottom w:val="single" w:sz="8" w:space="0" w:color="auto"/>
              <w:right w:val="single" w:sz="8" w:space="0" w:color="auto"/>
            </w:tcBorders>
            <w:shd w:val="clear" w:color="auto" w:fill="auto"/>
            <w:vAlign w:val="center"/>
            <w:hideMark/>
          </w:tcPr>
          <w:p w14:paraId="762A28E4"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Esta fuente respalda la importancia de incluir sistemas de inocuidad y capacidad permanente en la planta propuesta, para aumentar la productividad y reducir los costos de producción.</w:t>
            </w:r>
          </w:p>
        </w:tc>
        <w:tc>
          <w:tcPr>
            <w:tcW w:w="1324" w:type="pct"/>
            <w:tcBorders>
              <w:top w:val="nil"/>
              <w:left w:val="nil"/>
              <w:bottom w:val="single" w:sz="8" w:space="0" w:color="auto"/>
              <w:right w:val="single" w:sz="8" w:space="0" w:color="auto"/>
            </w:tcBorders>
            <w:shd w:val="clear" w:color="auto" w:fill="auto"/>
            <w:vAlign w:val="center"/>
            <w:hideMark/>
          </w:tcPr>
          <w:p w14:paraId="4A6FA205" w14:textId="77777777" w:rsidR="00121B78" w:rsidRPr="006304F7" w:rsidRDefault="00121B78" w:rsidP="00512F21">
            <w:pPr>
              <w:widowControl/>
              <w:autoSpaceDE/>
              <w:autoSpaceDN/>
              <w:rPr>
                <w:color w:val="000000"/>
                <w:sz w:val="24"/>
                <w:szCs w:val="24"/>
                <w:lang w:val="en-US" w:eastAsia="es-CO"/>
              </w:rPr>
            </w:pPr>
            <w:r w:rsidRPr="006304F7">
              <w:rPr>
                <w:color w:val="000000"/>
                <w:sz w:val="24"/>
                <w:szCs w:val="24"/>
                <w:lang w:val="en-US" w:eastAsia="es-CO"/>
              </w:rPr>
              <w:t xml:space="preserve">FAO. (2008). Good Practices for the Meat Industry. </w:t>
            </w:r>
          </w:p>
        </w:tc>
      </w:tr>
      <w:tr w:rsidR="00121B78" w:rsidRPr="003E3195" w14:paraId="18C1586D" w14:textId="77777777" w:rsidTr="00512F21">
        <w:trPr>
          <w:trHeight w:val="3132"/>
        </w:trPr>
        <w:tc>
          <w:tcPr>
            <w:tcW w:w="718" w:type="pct"/>
            <w:tcBorders>
              <w:top w:val="nil"/>
              <w:left w:val="single" w:sz="8" w:space="0" w:color="auto"/>
              <w:bottom w:val="single" w:sz="8" w:space="0" w:color="auto"/>
              <w:right w:val="single" w:sz="8" w:space="0" w:color="auto"/>
            </w:tcBorders>
            <w:shd w:val="clear" w:color="auto" w:fill="auto"/>
            <w:vAlign w:val="center"/>
            <w:hideMark/>
          </w:tcPr>
          <w:p w14:paraId="313D20FA"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UPRA- Unidad de Planificación Rural Agropecuaria</w:t>
            </w:r>
          </w:p>
        </w:tc>
        <w:tc>
          <w:tcPr>
            <w:tcW w:w="354" w:type="pct"/>
            <w:tcBorders>
              <w:top w:val="nil"/>
              <w:left w:val="nil"/>
              <w:bottom w:val="single" w:sz="8" w:space="0" w:color="auto"/>
              <w:right w:val="single" w:sz="8" w:space="0" w:color="auto"/>
            </w:tcBorders>
            <w:shd w:val="clear" w:color="auto" w:fill="auto"/>
            <w:vAlign w:val="center"/>
            <w:hideMark/>
          </w:tcPr>
          <w:p w14:paraId="1126DCBB" w14:textId="77777777" w:rsidR="00121B78" w:rsidRPr="003E3195" w:rsidRDefault="00121B78" w:rsidP="00512F21">
            <w:pPr>
              <w:widowControl/>
              <w:autoSpaceDE/>
              <w:autoSpaceDN/>
              <w:jc w:val="right"/>
              <w:rPr>
                <w:color w:val="000000"/>
                <w:sz w:val="24"/>
                <w:szCs w:val="24"/>
                <w:lang w:val="es-CO" w:eastAsia="es-CO"/>
              </w:rPr>
            </w:pPr>
            <w:r w:rsidRPr="003E3195">
              <w:rPr>
                <w:color w:val="000000"/>
                <w:sz w:val="24"/>
                <w:szCs w:val="24"/>
                <w:lang w:val="es-CO" w:eastAsia="es-CO"/>
              </w:rPr>
              <w:t>2023</w:t>
            </w:r>
          </w:p>
        </w:tc>
        <w:tc>
          <w:tcPr>
            <w:tcW w:w="875" w:type="pct"/>
            <w:tcBorders>
              <w:top w:val="nil"/>
              <w:left w:val="nil"/>
              <w:bottom w:val="single" w:sz="8" w:space="0" w:color="auto"/>
              <w:right w:val="single" w:sz="8" w:space="0" w:color="auto"/>
            </w:tcBorders>
            <w:shd w:val="clear" w:color="auto" w:fill="auto"/>
            <w:vAlign w:val="center"/>
            <w:hideMark/>
          </w:tcPr>
          <w:p w14:paraId="1AEEB778"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Microanálisis Evaluaciones Agropecuarias-Santander</w:t>
            </w:r>
          </w:p>
        </w:tc>
        <w:tc>
          <w:tcPr>
            <w:tcW w:w="866" w:type="pct"/>
            <w:tcBorders>
              <w:top w:val="nil"/>
              <w:left w:val="nil"/>
              <w:bottom w:val="single" w:sz="8" w:space="0" w:color="auto"/>
              <w:right w:val="single" w:sz="8" w:space="0" w:color="auto"/>
            </w:tcBorders>
            <w:shd w:val="clear" w:color="auto" w:fill="auto"/>
            <w:vAlign w:val="center"/>
            <w:hideMark/>
          </w:tcPr>
          <w:p w14:paraId="53013FA6"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t xml:space="preserve">El documento reporta el inventario porcino del departamento de Santander que cuenta con 172.914 animales distribuidos en 1.770 predios porcícolas. Se confirma la existencia de un sector </w:t>
            </w:r>
            <w:r w:rsidRPr="003E3195">
              <w:rPr>
                <w:color w:val="000000"/>
                <w:sz w:val="24"/>
                <w:szCs w:val="24"/>
                <w:lang w:val="es-CO" w:eastAsia="es-CO"/>
              </w:rPr>
              <w:lastRenderedPageBreak/>
              <w:t>porcícola activo y con potencial productivo.</w:t>
            </w:r>
          </w:p>
        </w:tc>
        <w:tc>
          <w:tcPr>
            <w:tcW w:w="862" w:type="pct"/>
            <w:tcBorders>
              <w:top w:val="nil"/>
              <w:left w:val="nil"/>
              <w:bottom w:val="single" w:sz="8" w:space="0" w:color="auto"/>
              <w:right w:val="single" w:sz="8" w:space="0" w:color="auto"/>
            </w:tcBorders>
            <w:shd w:val="clear" w:color="auto" w:fill="auto"/>
            <w:vAlign w:val="center"/>
            <w:hideMark/>
          </w:tcPr>
          <w:p w14:paraId="71F3A0F6"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 xml:space="preserve">Permite cuantificar el tamaño potencial del mercado de sacrificio formal y justifica la viabilidad de una planta en el departamento, ya que se cuenta con la existencia de una oferta </w:t>
            </w:r>
            <w:r w:rsidRPr="003E3195">
              <w:rPr>
                <w:color w:val="000000"/>
                <w:sz w:val="24"/>
                <w:szCs w:val="24"/>
                <w:lang w:val="es-CO" w:eastAsia="es-CO"/>
              </w:rPr>
              <w:lastRenderedPageBreak/>
              <w:t>significativa de animales listos para el procesamiento. Sirve como base para el cálculo del mercado disponible y la identificación de demanda insatisfecha en cuanto a infraestructura sanitaria autorizada.</w:t>
            </w:r>
          </w:p>
        </w:tc>
        <w:tc>
          <w:tcPr>
            <w:tcW w:w="1324" w:type="pct"/>
            <w:tcBorders>
              <w:top w:val="nil"/>
              <w:left w:val="nil"/>
              <w:bottom w:val="single" w:sz="8" w:space="0" w:color="auto"/>
              <w:right w:val="single" w:sz="8" w:space="0" w:color="auto"/>
            </w:tcBorders>
            <w:shd w:val="clear" w:color="auto" w:fill="auto"/>
            <w:vAlign w:val="center"/>
            <w:hideMark/>
          </w:tcPr>
          <w:p w14:paraId="2A72FF85" w14:textId="77777777" w:rsidR="00121B78" w:rsidRPr="003E3195" w:rsidRDefault="00121B78" w:rsidP="00512F21">
            <w:pPr>
              <w:widowControl/>
              <w:autoSpaceDE/>
              <w:autoSpaceDN/>
              <w:rPr>
                <w:color w:val="000000"/>
                <w:sz w:val="24"/>
                <w:szCs w:val="24"/>
                <w:lang w:val="es-CO" w:eastAsia="es-CO"/>
              </w:rPr>
            </w:pPr>
            <w:r w:rsidRPr="003E3195">
              <w:rPr>
                <w:color w:val="000000"/>
                <w:sz w:val="24"/>
                <w:szCs w:val="24"/>
                <w:lang w:val="es-CO" w:eastAsia="es-CO"/>
              </w:rPr>
              <w:lastRenderedPageBreak/>
              <w:t>Unidad de Planificación Rural Agropecuaria. (2023). Microanálisis / Evaluaciones Agropecuarias – Santander. UPRA.</w:t>
            </w:r>
          </w:p>
        </w:tc>
      </w:tr>
    </w:tbl>
    <w:p w14:paraId="4C6A0F89" w14:textId="77777777" w:rsidR="00121B78" w:rsidRPr="00FB509F" w:rsidRDefault="00121B78" w:rsidP="00121B78"/>
    <w:p w14:paraId="1BE2CE9E" w14:textId="77777777" w:rsidR="00121B78" w:rsidRPr="00FB509F" w:rsidRDefault="00121B78" w:rsidP="00121B78"/>
    <w:p w14:paraId="681286FF" w14:textId="420418A9" w:rsidR="00FB509F" w:rsidRPr="00121B78" w:rsidRDefault="00FB509F" w:rsidP="00121B78"/>
    <w:sectPr w:rsidR="00FB509F" w:rsidRPr="00121B7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FCB"/>
    <w:rsid w:val="00121B78"/>
    <w:rsid w:val="00386B46"/>
    <w:rsid w:val="00440D97"/>
    <w:rsid w:val="0068623A"/>
    <w:rsid w:val="006A458E"/>
    <w:rsid w:val="007B3C21"/>
    <w:rsid w:val="00900670"/>
    <w:rsid w:val="00FB3FCB"/>
    <w:rsid w:val="00FB50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EA101"/>
  <w15:chartTrackingRefBased/>
  <w15:docId w15:val="{856EBB18-A759-4918-810F-EC2E653A1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09F"/>
    <w:pPr>
      <w:widowControl w:val="0"/>
      <w:autoSpaceDE w:val="0"/>
      <w:autoSpaceDN w:val="0"/>
      <w:spacing w:after="0" w:line="240" w:lineRule="auto"/>
    </w:pPr>
    <w:rPr>
      <w:rFonts w:ascii="Times New Roman" w:eastAsia="Times New Roman" w:hAnsi="Times New Roman" w:cs="Times New Roman"/>
      <w:kern w:val="0"/>
      <w:lang w:val="es-ES"/>
      <w14:ligatures w14:val="none"/>
    </w:rPr>
  </w:style>
  <w:style w:type="paragraph" w:styleId="Ttulo1">
    <w:name w:val="heading 1"/>
    <w:basedOn w:val="Normal"/>
    <w:next w:val="Normal"/>
    <w:link w:val="Ttulo1Car"/>
    <w:uiPriority w:val="9"/>
    <w:qFormat/>
    <w:rsid w:val="00FB3F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B3F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B3FC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B3FC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B3FC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B3FCB"/>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B3FCB"/>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B3FCB"/>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B3FCB"/>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B3FC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B3FC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B3FC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B3FC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B3FC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B3FC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B3FC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B3FC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B3FCB"/>
    <w:rPr>
      <w:rFonts w:eastAsiaTheme="majorEastAsia" w:cstheme="majorBidi"/>
      <w:color w:val="272727" w:themeColor="text1" w:themeTint="D8"/>
    </w:rPr>
  </w:style>
  <w:style w:type="paragraph" w:styleId="Ttulo">
    <w:name w:val="Title"/>
    <w:basedOn w:val="Normal"/>
    <w:next w:val="Normal"/>
    <w:link w:val="TtuloCar"/>
    <w:uiPriority w:val="10"/>
    <w:qFormat/>
    <w:rsid w:val="00FB3FCB"/>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B3FC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B3FC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B3FC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B3FCB"/>
    <w:pPr>
      <w:spacing w:before="160"/>
      <w:jc w:val="center"/>
    </w:pPr>
    <w:rPr>
      <w:i/>
      <w:iCs/>
      <w:color w:val="404040" w:themeColor="text1" w:themeTint="BF"/>
    </w:rPr>
  </w:style>
  <w:style w:type="character" w:customStyle="1" w:styleId="CitaCar">
    <w:name w:val="Cita Car"/>
    <w:basedOn w:val="Fuentedeprrafopredeter"/>
    <w:link w:val="Cita"/>
    <w:uiPriority w:val="29"/>
    <w:rsid w:val="00FB3FCB"/>
    <w:rPr>
      <w:i/>
      <w:iCs/>
      <w:color w:val="404040" w:themeColor="text1" w:themeTint="BF"/>
    </w:rPr>
  </w:style>
  <w:style w:type="paragraph" w:styleId="Prrafodelista">
    <w:name w:val="List Paragraph"/>
    <w:basedOn w:val="Normal"/>
    <w:uiPriority w:val="34"/>
    <w:qFormat/>
    <w:rsid w:val="00FB3FCB"/>
    <w:pPr>
      <w:ind w:left="720"/>
      <w:contextualSpacing/>
    </w:pPr>
  </w:style>
  <w:style w:type="character" w:styleId="nfasisintenso">
    <w:name w:val="Intense Emphasis"/>
    <w:basedOn w:val="Fuentedeprrafopredeter"/>
    <w:uiPriority w:val="21"/>
    <w:qFormat/>
    <w:rsid w:val="00FB3FCB"/>
    <w:rPr>
      <w:i/>
      <w:iCs/>
      <w:color w:val="0F4761" w:themeColor="accent1" w:themeShade="BF"/>
    </w:rPr>
  </w:style>
  <w:style w:type="paragraph" w:styleId="Citadestacada">
    <w:name w:val="Intense Quote"/>
    <w:basedOn w:val="Normal"/>
    <w:next w:val="Normal"/>
    <w:link w:val="CitadestacadaCar"/>
    <w:uiPriority w:val="30"/>
    <w:qFormat/>
    <w:rsid w:val="00FB3F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B3FCB"/>
    <w:rPr>
      <w:i/>
      <w:iCs/>
      <w:color w:val="0F4761" w:themeColor="accent1" w:themeShade="BF"/>
    </w:rPr>
  </w:style>
  <w:style w:type="character" w:styleId="Referenciaintensa">
    <w:name w:val="Intense Reference"/>
    <w:basedOn w:val="Fuentedeprrafopredeter"/>
    <w:uiPriority w:val="32"/>
    <w:qFormat/>
    <w:rsid w:val="00FB3FC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BB676-2030-488A-A7D8-C4E595A2E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20</Pages>
  <Words>3184</Words>
  <Characters>17513</Characters>
  <Application>Microsoft Office Word</Application>
  <DocSecurity>0</DocSecurity>
  <Lines>145</Lines>
  <Paragraphs>41</Paragraphs>
  <ScaleCrop>false</ScaleCrop>
  <Company/>
  <LinksUpToDate>false</LinksUpToDate>
  <CharactersWithSpaces>20656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Camila Acevedo</dc:creator>
  <cp:keywords/>
  <dc:description/>
  <cp:lastModifiedBy>Camila Acevedo</cp:lastModifiedBy>
  <cp:revision>17</cp:revision>
  <dcterms:created xsi:type="dcterms:W3CDTF">2025-10-28T18:01:00Z</dcterms:created>
  <dcterms:modified xsi:type="dcterms:W3CDTF">2026-01-16T01:51:00Z</dcterms:modified>
</cp:coreProperties>
</file>